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90894" w14:textId="548BCF3F" w:rsidR="005929D6" w:rsidRPr="00E36F92" w:rsidRDefault="00295B8D">
      <w:pPr>
        <w:spacing w:line="276" w:lineRule="auto"/>
        <w:jc w:val="both"/>
        <w:rPr>
          <w:rFonts w:ascii="Verdana" w:hAnsi="Verdana"/>
          <w:color w:val="000000" w:themeColor="text1"/>
          <w:sz w:val="22"/>
          <w:szCs w:val="22"/>
        </w:rPr>
      </w:pPr>
      <w:r w:rsidRPr="00E36F92">
        <w:rPr>
          <w:rFonts w:ascii="Verdana" w:hAnsi="Verdana"/>
          <w:color w:val="000000" w:themeColor="text1"/>
          <w:sz w:val="22"/>
          <w:szCs w:val="22"/>
        </w:rPr>
        <w:t>Bogotá D.C.,</w:t>
      </w:r>
      <w:r w:rsidR="00F81F9C" w:rsidRPr="00E36F92">
        <w:rPr>
          <w:rFonts w:ascii="Verdana" w:hAnsi="Verdana"/>
          <w:color w:val="000000" w:themeColor="text1"/>
          <w:sz w:val="22"/>
          <w:szCs w:val="22"/>
        </w:rPr>
        <w:t xml:space="preserve"> </w:t>
      </w:r>
    </w:p>
    <w:p w14:paraId="01DAFE85" w14:textId="7992B467" w:rsidR="005929D6" w:rsidRPr="00E36F92" w:rsidRDefault="005929D6">
      <w:pPr>
        <w:spacing w:line="276" w:lineRule="auto"/>
        <w:jc w:val="both"/>
        <w:rPr>
          <w:rFonts w:ascii="Verdana" w:hAnsi="Verdana"/>
          <w:color w:val="000000" w:themeColor="text1"/>
          <w:sz w:val="22"/>
          <w:szCs w:val="22"/>
        </w:rPr>
      </w:pPr>
    </w:p>
    <w:p w14:paraId="5093D7B9" w14:textId="77777777" w:rsidR="00E36F92" w:rsidRPr="00BE09AB" w:rsidRDefault="00E36F92" w:rsidP="00E36F92">
      <w:pPr>
        <w:spacing w:line="276" w:lineRule="auto"/>
        <w:jc w:val="both"/>
        <w:rPr>
          <w:rFonts w:ascii="Verdana" w:hAnsi="Verdana"/>
          <w:b/>
          <w:color w:val="000000" w:themeColor="text1"/>
          <w:sz w:val="22"/>
          <w:szCs w:val="22"/>
        </w:rPr>
      </w:pPr>
      <w:r w:rsidRPr="00BE09AB">
        <w:rPr>
          <w:rFonts w:ascii="Verdana" w:hAnsi="Verdana"/>
          <w:b/>
          <w:color w:val="000000" w:themeColor="text1"/>
          <w:sz w:val="22"/>
          <w:szCs w:val="22"/>
        </w:rPr>
        <w:t>SEÑORES</w:t>
      </w:r>
    </w:p>
    <w:p w14:paraId="52C7C75F" w14:textId="77777777" w:rsidR="00E36F92" w:rsidRPr="00BE09AB" w:rsidRDefault="00E36F92" w:rsidP="00E36F92">
      <w:pPr>
        <w:spacing w:line="276" w:lineRule="auto"/>
        <w:jc w:val="both"/>
        <w:rPr>
          <w:rFonts w:ascii="Verdana" w:hAnsi="Verdana"/>
          <w:b/>
          <w:color w:val="000000" w:themeColor="text1"/>
          <w:sz w:val="22"/>
          <w:szCs w:val="22"/>
        </w:rPr>
      </w:pPr>
      <w:r w:rsidRPr="00BE09AB">
        <w:rPr>
          <w:rFonts w:ascii="Verdana" w:hAnsi="Verdana"/>
          <w:b/>
          <w:color w:val="000000" w:themeColor="text1"/>
          <w:sz w:val="22"/>
          <w:szCs w:val="22"/>
        </w:rPr>
        <w:t>MAGISTRADOS SALA DE DECISIÓN CIVIL-FAMILIA</w:t>
      </w:r>
    </w:p>
    <w:p w14:paraId="55386851" w14:textId="77777777" w:rsidR="00E36F92" w:rsidRPr="00BE09AB" w:rsidRDefault="00E36F92" w:rsidP="00E36F92">
      <w:pPr>
        <w:spacing w:line="276" w:lineRule="auto"/>
        <w:jc w:val="both"/>
        <w:rPr>
          <w:rFonts w:ascii="Verdana" w:hAnsi="Verdana"/>
          <w:b/>
          <w:color w:val="000000" w:themeColor="text1"/>
          <w:sz w:val="22"/>
          <w:szCs w:val="22"/>
        </w:rPr>
      </w:pPr>
      <w:r w:rsidRPr="00BE09AB">
        <w:rPr>
          <w:rFonts w:ascii="Verdana" w:hAnsi="Verdana"/>
          <w:b/>
          <w:color w:val="000000" w:themeColor="text1"/>
          <w:sz w:val="22"/>
          <w:szCs w:val="22"/>
        </w:rPr>
        <w:t>TRIBUNAL SUPERIOR DEL DISTRITO JUDICIAL DE QUIBDÓ – CHOCÓ</w:t>
      </w:r>
    </w:p>
    <w:p w14:paraId="7006DF56" w14:textId="77777777" w:rsidR="00E36F92" w:rsidRPr="00BE09AB" w:rsidRDefault="00E36F92" w:rsidP="00E36F92">
      <w:pPr>
        <w:spacing w:line="276" w:lineRule="auto"/>
        <w:jc w:val="both"/>
        <w:rPr>
          <w:rFonts w:ascii="Verdana" w:hAnsi="Verdana"/>
          <w:b/>
          <w:color w:val="000000" w:themeColor="text1"/>
          <w:sz w:val="22"/>
          <w:szCs w:val="22"/>
        </w:rPr>
      </w:pPr>
      <w:r w:rsidRPr="00BE09AB">
        <w:rPr>
          <w:rFonts w:ascii="Verdana" w:hAnsi="Verdana"/>
          <w:b/>
          <w:color w:val="000000" w:themeColor="text1"/>
          <w:sz w:val="22"/>
          <w:szCs w:val="22"/>
        </w:rPr>
        <w:t>(REPARTO)</w:t>
      </w:r>
    </w:p>
    <w:p w14:paraId="0C1FD772" w14:textId="52B2E65E" w:rsidR="00E36F92" w:rsidRPr="00E36F92" w:rsidRDefault="00E36F92" w:rsidP="00E36F92">
      <w:pPr>
        <w:spacing w:line="276" w:lineRule="auto"/>
        <w:jc w:val="both"/>
        <w:rPr>
          <w:rFonts w:ascii="Verdana" w:hAnsi="Verdana"/>
          <w:b/>
          <w:color w:val="000000" w:themeColor="text1"/>
          <w:sz w:val="22"/>
          <w:szCs w:val="22"/>
        </w:rPr>
      </w:pPr>
      <w:r w:rsidRPr="00BE09AB">
        <w:rPr>
          <w:rFonts w:ascii="Verdana" w:hAnsi="Verdana"/>
          <w:b/>
          <w:color w:val="000000" w:themeColor="text1"/>
          <w:sz w:val="22"/>
          <w:szCs w:val="22"/>
        </w:rPr>
        <w:t>E. S. D.</w:t>
      </w:r>
    </w:p>
    <w:p w14:paraId="268C490E" w14:textId="3FB64411" w:rsidR="005929D6" w:rsidRPr="00E36F92" w:rsidRDefault="005929D6">
      <w:pPr>
        <w:spacing w:line="276" w:lineRule="auto"/>
        <w:jc w:val="both"/>
        <w:rPr>
          <w:rFonts w:ascii="Verdana" w:hAnsi="Verdana"/>
          <w:b/>
          <w:color w:val="000000" w:themeColor="text1"/>
          <w:sz w:val="22"/>
          <w:szCs w:val="22"/>
          <w:highlight w:val="yellow"/>
        </w:rPr>
      </w:pPr>
    </w:p>
    <w:p w14:paraId="1A70EF22" w14:textId="77777777" w:rsidR="00E36F92" w:rsidRPr="00E36F92" w:rsidRDefault="00E36F92">
      <w:pPr>
        <w:spacing w:line="276" w:lineRule="auto"/>
        <w:jc w:val="both"/>
        <w:rPr>
          <w:rFonts w:ascii="Verdana" w:hAnsi="Verdana"/>
          <w:color w:val="000000" w:themeColor="text1"/>
          <w:sz w:val="22"/>
          <w:szCs w:val="22"/>
        </w:rPr>
      </w:pPr>
    </w:p>
    <w:tbl>
      <w:tblPr>
        <w:tblW w:w="0" w:type="auto"/>
        <w:tblInd w:w="276" w:type="dxa"/>
        <w:shd w:val="clear" w:color="auto" w:fill="FFFFFF"/>
        <w:tblLook w:val="04A0" w:firstRow="1" w:lastRow="0" w:firstColumn="1" w:lastColumn="0" w:noHBand="0" w:noVBand="1"/>
      </w:tblPr>
      <w:tblGrid>
        <w:gridCol w:w="1921"/>
        <w:gridCol w:w="6017"/>
      </w:tblGrid>
      <w:tr w:rsidR="00E36F92" w:rsidRPr="00E36F92" w14:paraId="3DC174CC" w14:textId="77777777">
        <w:tc>
          <w:tcPr>
            <w:tcW w:w="1921" w:type="dxa"/>
            <w:tcBorders>
              <w:top w:val="single" w:sz="6" w:space="0" w:color="auto"/>
              <w:left w:val="single" w:sz="6" w:space="0" w:color="auto"/>
              <w:bottom w:val="single" w:sz="6" w:space="0" w:color="auto"/>
              <w:right w:val="single" w:sz="6" w:space="0" w:color="auto"/>
            </w:tcBorders>
            <w:tcMar>
              <w:top w:w="15" w:type="dxa"/>
              <w:left w:w="100" w:type="dxa"/>
              <w:bottom w:w="15" w:type="dxa"/>
              <w:right w:w="100" w:type="dxa"/>
            </w:tcMar>
            <w:vAlign w:val="center"/>
          </w:tcPr>
          <w:p w14:paraId="6EDB712E" w14:textId="77777777" w:rsidR="005929D6" w:rsidRPr="00E36F92" w:rsidRDefault="00295B8D">
            <w:pPr>
              <w:rPr>
                <w:rFonts w:ascii="Verdana" w:hAnsi="Verdana"/>
                <w:b/>
                <w:color w:val="000000" w:themeColor="text1"/>
                <w:sz w:val="20"/>
                <w:szCs w:val="20"/>
              </w:rPr>
            </w:pPr>
            <w:r w:rsidRPr="00E36F92">
              <w:rPr>
                <w:rFonts w:ascii="Verdana" w:hAnsi="Verdana"/>
                <w:b/>
                <w:color w:val="000000" w:themeColor="text1"/>
                <w:sz w:val="20"/>
                <w:szCs w:val="20"/>
              </w:rPr>
              <w:t>ACCIONANTE:</w:t>
            </w:r>
          </w:p>
        </w:tc>
        <w:tc>
          <w:tcPr>
            <w:tcW w:w="6017" w:type="dxa"/>
            <w:tcBorders>
              <w:top w:val="single" w:sz="6" w:space="0" w:color="auto"/>
              <w:bottom w:val="single" w:sz="6" w:space="0" w:color="auto"/>
              <w:right w:val="single" w:sz="6" w:space="0" w:color="auto"/>
            </w:tcBorders>
            <w:tcMar>
              <w:top w:w="15" w:type="dxa"/>
              <w:left w:w="100" w:type="dxa"/>
              <w:bottom w:w="15" w:type="dxa"/>
              <w:right w:w="100" w:type="dxa"/>
            </w:tcMar>
          </w:tcPr>
          <w:p w14:paraId="7391DC68" w14:textId="77777777" w:rsidR="005929D6" w:rsidRPr="00E36F92" w:rsidRDefault="00295B8D">
            <w:pPr>
              <w:rPr>
                <w:rFonts w:ascii="Verdana" w:hAnsi="Verdana"/>
                <w:color w:val="000000" w:themeColor="text1"/>
                <w:sz w:val="20"/>
                <w:szCs w:val="20"/>
              </w:rPr>
            </w:pPr>
            <w:r w:rsidRPr="00E36F92">
              <w:rPr>
                <w:rFonts w:ascii="Verdana" w:hAnsi="Verdana"/>
                <w:color w:val="000000" w:themeColor="text1"/>
                <w:sz w:val="20"/>
                <w:szCs w:val="20"/>
              </w:rPr>
              <w:t>MINISTERIO DEL INTERIOR</w:t>
            </w:r>
          </w:p>
        </w:tc>
      </w:tr>
      <w:tr w:rsidR="00E36F92" w:rsidRPr="00E36F92" w14:paraId="5504EBBA" w14:textId="77777777">
        <w:tc>
          <w:tcPr>
            <w:tcW w:w="1921" w:type="dxa"/>
            <w:tcBorders>
              <w:top w:val="single" w:sz="6" w:space="0" w:color="auto"/>
              <w:left w:val="single" w:sz="6" w:space="0" w:color="auto"/>
              <w:bottom w:val="single" w:sz="6" w:space="0" w:color="auto"/>
              <w:right w:val="single" w:sz="6" w:space="0" w:color="auto"/>
            </w:tcBorders>
            <w:tcMar>
              <w:top w:w="15" w:type="dxa"/>
              <w:left w:w="100" w:type="dxa"/>
              <w:bottom w:w="15" w:type="dxa"/>
              <w:right w:w="100" w:type="dxa"/>
            </w:tcMar>
            <w:vAlign w:val="center"/>
          </w:tcPr>
          <w:p w14:paraId="41AA890E" w14:textId="77777777" w:rsidR="005929D6" w:rsidRPr="00E36F92" w:rsidRDefault="00295B8D">
            <w:pPr>
              <w:rPr>
                <w:rFonts w:ascii="Verdana" w:hAnsi="Verdana"/>
                <w:b/>
                <w:color w:val="000000" w:themeColor="text1"/>
                <w:sz w:val="20"/>
                <w:szCs w:val="20"/>
              </w:rPr>
            </w:pPr>
            <w:r w:rsidRPr="00E36F92">
              <w:rPr>
                <w:rFonts w:ascii="Verdana" w:hAnsi="Verdana"/>
                <w:b/>
                <w:color w:val="000000" w:themeColor="text1"/>
                <w:sz w:val="20"/>
                <w:szCs w:val="20"/>
              </w:rPr>
              <w:t>ACCIONADO:</w:t>
            </w:r>
          </w:p>
        </w:tc>
        <w:tc>
          <w:tcPr>
            <w:tcW w:w="6017" w:type="dxa"/>
            <w:tcBorders>
              <w:top w:val="single" w:sz="6" w:space="0" w:color="auto"/>
              <w:bottom w:val="single" w:sz="6" w:space="0" w:color="auto"/>
              <w:right w:val="single" w:sz="6" w:space="0" w:color="auto"/>
            </w:tcBorders>
            <w:tcMar>
              <w:top w:w="15" w:type="dxa"/>
              <w:left w:w="100" w:type="dxa"/>
              <w:bottom w:w="15" w:type="dxa"/>
              <w:right w:w="100" w:type="dxa"/>
            </w:tcMar>
          </w:tcPr>
          <w:p w14:paraId="4658BAD9" w14:textId="755A815A" w:rsidR="005929D6" w:rsidRPr="00E36F92" w:rsidRDefault="00E36F92">
            <w:pPr>
              <w:rPr>
                <w:rFonts w:ascii="Verdana" w:hAnsi="Verdana"/>
                <w:color w:val="000000" w:themeColor="text1"/>
                <w:sz w:val="20"/>
                <w:szCs w:val="20"/>
              </w:rPr>
            </w:pPr>
            <w:r w:rsidRPr="00E36F92">
              <w:rPr>
                <w:rFonts w:ascii="Verdana" w:hAnsi="Verdana"/>
                <w:color w:val="000000" w:themeColor="text1"/>
                <w:sz w:val="20"/>
                <w:szCs w:val="20"/>
              </w:rPr>
              <w:t>JUZGADO PROMISCUO MUNICIPAL DE CONDOTO Y JUZGADO PRIMERO PENAL DEL CIRCUITO DE ISTMINA</w:t>
            </w:r>
          </w:p>
        </w:tc>
      </w:tr>
      <w:tr w:rsidR="00E36F92" w:rsidRPr="00E36F92" w14:paraId="6F63A193" w14:textId="77777777">
        <w:tc>
          <w:tcPr>
            <w:tcW w:w="1921" w:type="dxa"/>
            <w:tcBorders>
              <w:top w:val="single" w:sz="6" w:space="0" w:color="auto"/>
              <w:left w:val="single" w:sz="6" w:space="0" w:color="auto"/>
              <w:bottom w:val="single" w:sz="6" w:space="0" w:color="auto"/>
              <w:right w:val="single" w:sz="6" w:space="0" w:color="auto"/>
            </w:tcBorders>
            <w:tcMar>
              <w:top w:w="15" w:type="dxa"/>
              <w:left w:w="100" w:type="dxa"/>
              <w:bottom w:w="15" w:type="dxa"/>
              <w:right w:w="100" w:type="dxa"/>
            </w:tcMar>
            <w:vAlign w:val="center"/>
          </w:tcPr>
          <w:p w14:paraId="38D410B1" w14:textId="77777777" w:rsidR="005929D6" w:rsidRPr="00E36F92" w:rsidRDefault="00295B8D">
            <w:pPr>
              <w:rPr>
                <w:rFonts w:ascii="Verdana" w:hAnsi="Verdana"/>
                <w:b/>
                <w:color w:val="000000" w:themeColor="text1"/>
                <w:sz w:val="20"/>
                <w:szCs w:val="20"/>
              </w:rPr>
            </w:pPr>
            <w:r w:rsidRPr="00E36F92">
              <w:rPr>
                <w:rFonts w:ascii="Verdana" w:hAnsi="Verdana"/>
                <w:b/>
                <w:color w:val="000000" w:themeColor="text1"/>
                <w:sz w:val="20"/>
                <w:szCs w:val="20"/>
              </w:rPr>
              <w:t>RADICADO:</w:t>
            </w:r>
          </w:p>
        </w:tc>
        <w:tc>
          <w:tcPr>
            <w:tcW w:w="6017" w:type="dxa"/>
            <w:tcBorders>
              <w:top w:val="single" w:sz="6" w:space="0" w:color="auto"/>
              <w:bottom w:val="single" w:sz="6" w:space="0" w:color="auto"/>
              <w:right w:val="single" w:sz="6" w:space="0" w:color="auto"/>
            </w:tcBorders>
            <w:tcMar>
              <w:top w:w="15" w:type="dxa"/>
              <w:left w:w="100" w:type="dxa"/>
              <w:bottom w:w="15" w:type="dxa"/>
              <w:right w:w="100" w:type="dxa"/>
            </w:tcMar>
          </w:tcPr>
          <w:p w14:paraId="3A913323" w14:textId="0D4F9C80" w:rsidR="005929D6" w:rsidRPr="00E36F92" w:rsidRDefault="00E36F92">
            <w:pPr>
              <w:rPr>
                <w:rFonts w:ascii="Verdana" w:hAnsi="Verdana"/>
                <w:color w:val="000000" w:themeColor="text1"/>
                <w:sz w:val="20"/>
                <w:szCs w:val="20"/>
              </w:rPr>
            </w:pPr>
            <w:r w:rsidRPr="00E36F92">
              <w:rPr>
                <w:rFonts w:ascii="Verdana" w:hAnsi="Verdana"/>
                <w:color w:val="000000" w:themeColor="text1"/>
                <w:sz w:val="20"/>
                <w:szCs w:val="20"/>
              </w:rPr>
              <w:t xml:space="preserve">Expediente No. </w:t>
            </w:r>
            <w:bookmarkStart w:id="0" w:name="_Hlk233815674"/>
            <w:r w:rsidRPr="00E36F92">
              <w:rPr>
                <w:rFonts w:ascii="Verdana" w:hAnsi="Verdana"/>
                <w:color w:val="000000" w:themeColor="text1"/>
                <w:sz w:val="20"/>
                <w:szCs w:val="20"/>
              </w:rPr>
              <w:t xml:space="preserve">27-205-40-89-001-2026-00050-00 </w:t>
            </w:r>
            <w:bookmarkEnd w:id="0"/>
            <w:r w:rsidRPr="00E36F92">
              <w:rPr>
                <w:rFonts w:ascii="Verdana" w:hAnsi="Verdana"/>
                <w:color w:val="000000" w:themeColor="text1"/>
                <w:sz w:val="20"/>
                <w:szCs w:val="20"/>
              </w:rPr>
              <w:t>(Sentencia No. 22 del 28 de abril de 2026 y Sentencia No. 012 del 29 de mayo de 2026) e incidente de desacato No. 27-205-40-89-001-2026-00062-00</w:t>
            </w:r>
          </w:p>
        </w:tc>
      </w:tr>
      <w:tr w:rsidR="00E36F92" w:rsidRPr="00E36F92" w14:paraId="5ADF9EB8" w14:textId="77777777" w:rsidTr="00E36F92">
        <w:trPr>
          <w:trHeight w:val="23"/>
        </w:trPr>
        <w:tc>
          <w:tcPr>
            <w:tcW w:w="1921" w:type="dxa"/>
            <w:tcBorders>
              <w:top w:val="single" w:sz="6" w:space="0" w:color="auto"/>
              <w:left w:val="single" w:sz="6" w:space="0" w:color="auto"/>
              <w:bottom w:val="single" w:sz="6" w:space="0" w:color="auto"/>
              <w:right w:val="single" w:sz="6" w:space="0" w:color="auto"/>
            </w:tcBorders>
            <w:tcMar>
              <w:top w:w="15" w:type="dxa"/>
              <w:left w:w="100" w:type="dxa"/>
              <w:bottom w:w="15" w:type="dxa"/>
              <w:right w:w="100" w:type="dxa"/>
            </w:tcMar>
            <w:vAlign w:val="center"/>
          </w:tcPr>
          <w:p w14:paraId="5C3A78C4" w14:textId="77777777" w:rsidR="005929D6" w:rsidRPr="00E36F92" w:rsidRDefault="00295B8D">
            <w:pPr>
              <w:rPr>
                <w:rFonts w:ascii="Verdana" w:hAnsi="Verdana"/>
                <w:b/>
                <w:color w:val="000000" w:themeColor="text1"/>
                <w:sz w:val="20"/>
                <w:szCs w:val="20"/>
              </w:rPr>
            </w:pPr>
            <w:r w:rsidRPr="00E36F92">
              <w:rPr>
                <w:rFonts w:ascii="Verdana" w:hAnsi="Verdana"/>
                <w:b/>
                <w:color w:val="000000" w:themeColor="text1"/>
                <w:sz w:val="20"/>
                <w:szCs w:val="20"/>
              </w:rPr>
              <w:t>ASUNTO:</w:t>
            </w:r>
          </w:p>
        </w:tc>
        <w:tc>
          <w:tcPr>
            <w:tcW w:w="6017" w:type="dxa"/>
            <w:tcBorders>
              <w:top w:val="single" w:sz="6" w:space="0" w:color="auto"/>
              <w:bottom w:val="single" w:sz="6" w:space="0" w:color="auto"/>
              <w:right w:val="single" w:sz="6" w:space="0" w:color="auto"/>
            </w:tcBorders>
            <w:tcMar>
              <w:top w:w="15" w:type="dxa"/>
              <w:left w:w="100" w:type="dxa"/>
              <w:bottom w:w="15" w:type="dxa"/>
              <w:right w:w="100" w:type="dxa"/>
            </w:tcMar>
          </w:tcPr>
          <w:p w14:paraId="4A37D47D" w14:textId="77777777" w:rsidR="005929D6" w:rsidRPr="00E36F92" w:rsidRDefault="00295B8D">
            <w:pPr>
              <w:rPr>
                <w:rFonts w:ascii="Verdana" w:hAnsi="Verdana"/>
                <w:color w:val="000000" w:themeColor="text1"/>
                <w:sz w:val="20"/>
                <w:szCs w:val="20"/>
              </w:rPr>
            </w:pPr>
            <w:r w:rsidRPr="00E36F92">
              <w:rPr>
                <w:rFonts w:ascii="Verdana" w:hAnsi="Verdana"/>
                <w:color w:val="000000" w:themeColor="text1"/>
                <w:sz w:val="20"/>
                <w:szCs w:val="20"/>
              </w:rPr>
              <w:t>ACCIÓN DE TUTELA CONTRA PROVIDENCIA JUDICIAL – VÍA DE HECHO</w:t>
            </w:r>
          </w:p>
        </w:tc>
      </w:tr>
    </w:tbl>
    <w:p w14:paraId="4FD8D47B" w14:textId="77777777" w:rsidR="005929D6" w:rsidRPr="00E36F92" w:rsidRDefault="005929D6">
      <w:pPr>
        <w:spacing w:line="276" w:lineRule="auto"/>
        <w:jc w:val="both"/>
        <w:rPr>
          <w:rFonts w:ascii="Verdana" w:hAnsi="Verdana"/>
          <w:color w:val="000000" w:themeColor="text1"/>
          <w:sz w:val="22"/>
          <w:szCs w:val="22"/>
        </w:rPr>
      </w:pPr>
    </w:p>
    <w:p w14:paraId="4F111F09" w14:textId="77777777" w:rsidR="00E36F92" w:rsidRPr="00E36F92" w:rsidRDefault="00E36F92">
      <w:pPr>
        <w:spacing w:line="276" w:lineRule="auto"/>
        <w:jc w:val="both"/>
        <w:rPr>
          <w:rFonts w:ascii="Verdana" w:hAnsi="Verdana"/>
          <w:color w:val="000000" w:themeColor="text1"/>
          <w:sz w:val="22"/>
          <w:szCs w:val="22"/>
        </w:rPr>
      </w:pPr>
    </w:p>
    <w:p w14:paraId="4190E96D" w14:textId="1C374C33" w:rsidR="005929D6" w:rsidRPr="00E36F92" w:rsidRDefault="00BE09AB">
      <w:pPr>
        <w:spacing w:line="276" w:lineRule="auto"/>
        <w:jc w:val="both"/>
        <w:rPr>
          <w:rFonts w:ascii="Verdana" w:hAnsi="Verdana"/>
          <w:color w:val="000000" w:themeColor="text1"/>
          <w:sz w:val="22"/>
          <w:szCs w:val="22"/>
        </w:rPr>
      </w:pPr>
      <w:r w:rsidRPr="00BE09AB">
        <w:rPr>
          <w:rFonts w:ascii="Verdana" w:hAnsi="Verdana"/>
          <w:b/>
          <w:bCs/>
          <w:color w:val="000000" w:themeColor="text1"/>
          <w:sz w:val="22"/>
          <w:szCs w:val="22"/>
        </w:rPr>
        <w:t>ALEJANDRO FRANCO CASTAÑO</w:t>
      </w:r>
      <w:r w:rsidRPr="00BE09AB">
        <w:rPr>
          <w:rFonts w:ascii="Verdana" w:hAnsi="Verdana"/>
          <w:color w:val="000000" w:themeColor="text1"/>
          <w:sz w:val="22"/>
          <w:szCs w:val="22"/>
        </w:rPr>
        <w:t xml:space="preserve">, mayor de edad, identificado con la cédula de ciudadanía No. 75.086.934, portador de la Tarjeta Profesional No. 116906 expedida por el Consejo Superior de la Judicatura, obrando en nombre y representación del </w:t>
      </w:r>
      <w:r w:rsidRPr="00BE09AB">
        <w:rPr>
          <w:rFonts w:ascii="Verdana" w:hAnsi="Verdana"/>
          <w:b/>
          <w:bCs/>
          <w:color w:val="000000" w:themeColor="text1"/>
          <w:sz w:val="22"/>
          <w:szCs w:val="22"/>
        </w:rPr>
        <w:t>MINISTERIO DEL INTERIOR</w:t>
      </w:r>
      <w:r w:rsidRPr="00BE09AB">
        <w:rPr>
          <w:rFonts w:ascii="Verdana" w:hAnsi="Verdana"/>
          <w:color w:val="000000" w:themeColor="text1"/>
          <w:sz w:val="22"/>
          <w:szCs w:val="22"/>
        </w:rPr>
        <w:t xml:space="preserve"> en virtud del poder especial que me fuera conferido por el </w:t>
      </w:r>
      <w:r>
        <w:rPr>
          <w:rFonts w:ascii="Verdana" w:hAnsi="Verdana"/>
          <w:color w:val="000000" w:themeColor="text1"/>
          <w:sz w:val="22"/>
          <w:szCs w:val="22"/>
        </w:rPr>
        <w:t>D</w:t>
      </w:r>
      <w:r w:rsidRPr="00BE09AB">
        <w:rPr>
          <w:rFonts w:ascii="Verdana" w:hAnsi="Verdana"/>
          <w:color w:val="000000" w:themeColor="text1"/>
          <w:sz w:val="22"/>
          <w:szCs w:val="22"/>
        </w:rPr>
        <w:t xml:space="preserve">octor </w:t>
      </w:r>
      <w:r w:rsidRPr="00BE09AB">
        <w:rPr>
          <w:rFonts w:ascii="Verdana" w:hAnsi="Verdana"/>
          <w:b/>
          <w:bCs/>
          <w:color w:val="000000" w:themeColor="text1"/>
          <w:sz w:val="22"/>
          <w:szCs w:val="22"/>
        </w:rPr>
        <w:t>ANDRÉS ZAMIR LÓPEZ ROBLES</w:t>
      </w:r>
      <w:r w:rsidRPr="00BE09AB">
        <w:rPr>
          <w:rFonts w:ascii="Verdana" w:hAnsi="Verdana"/>
          <w:color w:val="000000" w:themeColor="text1"/>
          <w:sz w:val="22"/>
          <w:szCs w:val="22"/>
        </w:rPr>
        <w:t xml:space="preserve">, en su condición de Director Jurídico Encargado del Ministerio del Interior —de conformidad con la Resolución No. 0939 del 3 de junio de 2026, el Acta de Posesión No. 106 del 4 de junio de 2026 y el artículo 10 del Decreto 2893 de 2011, modificado por el artículo 5 del Decreto 0714 de 2024—, el cual me permito acompañar como anexo, acudo respetuosamente ante su Despacho para promover </w:t>
      </w:r>
      <w:r w:rsidRPr="00BE09AB">
        <w:rPr>
          <w:rFonts w:ascii="Verdana" w:hAnsi="Verdana"/>
          <w:b/>
          <w:bCs/>
          <w:color w:val="000000" w:themeColor="text1"/>
          <w:sz w:val="22"/>
          <w:szCs w:val="22"/>
        </w:rPr>
        <w:t>ACCIÓN DE TUTELA</w:t>
      </w:r>
      <w:r w:rsidRPr="00BE09AB">
        <w:rPr>
          <w:rFonts w:ascii="Verdana" w:hAnsi="Verdana"/>
          <w:color w:val="000000" w:themeColor="text1"/>
          <w:sz w:val="22"/>
          <w:szCs w:val="22"/>
        </w:rPr>
        <w:t xml:space="preserve"> contra el </w:t>
      </w:r>
      <w:r w:rsidRPr="00BE09AB">
        <w:rPr>
          <w:rFonts w:ascii="Verdana" w:hAnsi="Verdana"/>
          <w:b/>
          <w:bCs/>
          <w:color w:val="000000" w:themeColor="text1"/>
          <w:sz w:val="22"/>
          <w:szCs w:val="22"/>
        </w:rPr>
        <w:t>JUZGADO PROMISCUO MUNICIPAL DE CONDOTO y el JUZGADO PRIMERO PENAL DEL CIRCUITO DE ISTMINA</w:t>
      </w:r>
      <w:r w:rsidRPr="00BE09AB">
        <w:rPr>
          <w:rFonts w:ascii="Verdana" w:hAnsi="Verdana"/>
          <w:color w:val="000000" w:themeColor="text1"/>
          <w:sz w:val="22"/>
          <w:szCs w:val="22"/>
        </w:rPr>
        <w:t>, con fundamento en los hechos y consideraciones que a continuación expongo.</w:t>
      </w:r>
    </w:p>
    <w:p w14:paraId="6A04E0F5" w14:textId="77777777" w:rsidR="00E36F92" w:rsidRPr="00E36F92" w:rsidRDefault="00E36F92" w:rsidP="00E36F92">
      <w:pPr>
        <w:pStyle w:val="Ttulo1"/>
        <w:jc w:val="center"/>
        <w:rPr>
          <w:rFonts w:ascii="Verdana" w:hAnsi="Verdana"/>
          <w:color w:val="000000" w:themeColor="text1"/>
          <w:sz w:val="22"/>
          <w:szCs w:val="22"/>
        </w:rPr>
      </w:pPr>
      <w:r w:rsidRPr="00E36F92">
        <w:rPr>
          <w:rFonts w:ascii="Verdana" w:eastAsia="Arial" w:hAnsi="Verdana" w:cs="Arial"/>
          <w:b/>
          <w:bCs/>
          <w:color w:val="000000" w:themeColor="text1"/>
          <w:sz w:val="22"/>
          <w:szCs w:val="22"/>
        </w:rPr>
        <w:lastRenderedPageBreak/>
        <w:t>I. PARTES</w:t>
      </w:r>
    </w:p>
    <w:p w14:paraId="58370CDD" w14:textId="77777777" w:rsidR="00E36F92" w:rsidRPr="00E36F92" w:rsidRDefault="00E36F92" w:rsidP="00E36F92">
      <w:pPr>
        <w:pStyle w:val="Ttulo2"/>
        <w:spacing w:before="320" w:after="200"/>
        <w:rPr>
          <w:rFonts w:ascii="Verdana" w:hAnsi="Verdana"/>
          <w:color w:val="000000" w:themeColor="text1"/>
          <w:sz w:val="22"/>
          <w:szCs w:val="22"/>
        </w:rPr>
      </w:pPr>
      <w:r w:rsidRPr="00E36F92">
        <w:rPr>
          <w:rFonts w:ascii="Verdana" w:eastAsia="Arial" w:hAnsi="Verdana" w:cs="Arial"/>
          <w:b/>
          <w:bCs/>
          <w:color w:val="000000" w:themeColor="text1"/>
          <w:sz w:val="22"/>
          <w:szCs w:val="22"/>
        </w:rPr>
        <w:t>1. Accionante</w:t>
      </w:r>
    </w:p>
    <w:p w14:paraId="52F56FC6" w14:textId="77777777" w:rsidR="00E36F92" w:rsidRPr="00E36F92" w:rsidRDefault="00E36F92" w:rsidP="00E36F92">
      <w:pPr>
        <w:spacing w:after="200" w:line="300" w:lineRule="auto"/>
        <w:jc w:val="both"/>
        <w:rPr>
          <w:rFonts w:ascii="Verdana" w:hAnsi="Verdana"/>
          <w:color w:val="000000" w:themeColor="text1"/>
          <w:sz w:val="22"/>
          <w:szCs w:val="22"/>
        </w:rPr>
      </w:pPr>
      <w:r w:rsidRPr="00E36F92">
        <w:rPr>
          <w:rFonts w:ascii="Verdana" w:eastAsia="Arial" w:hAnsi="Verdana" w:cs="Arial"/>
          <w:color w:val="000000" w:themeColor="text1"/>
          <w:sz w:val="22"/>
          <w:szCs w:val="22"/>
        </w:rPr>
        <w:t>Ministerio del Interior, entidad del orden nacional, con domicilio en la Calle 12 B No. 8-46 de Bogotá D.C., representada judicialmente en este acto por el Director Jurídico (e), conforme al poder y actos administrativos referidos en el acápite introductorio.</w:t>
      </w:r>
    </w:p>
    <w:p w14:paraId="2CCDD194" w14:textId="77777777" w:rsidR="00E36F92" w:rsidRPr="00E36F92" w:rsidRDefault="00E36F92" w:rsidP="00E36F92">
      <w:pPr>
        <w:pStyle w:val="Ttulo2"/>
        <w:spacing w:before="320" w:after="200"/>
        <w:rPr>
          <w:rFonts w:ascii="Verdana" w:hAnsi="Verdana"/>
          <w:color w:val="000000" w:themeColor="text1"/>
          <w:sz w:val="22"/>
          <w:szCs w:val="22"/>
        </w:rPr>
      </w:pPr>
      <w:r w:rsidRPr="00E36F92">
        <w:rPr>
          <w:rFonts w:ascii="Verdana" w:eastAsia="Arial" w:hAnsi="Verdana" w:cs="Arial"/>
          <w:b/>
          <w:bCs/>
          <w:color w:val="000000" w:themeColor="text1"/>
          <w:sz w:val="22"/>
          <w:szCs w:val="22"/>
        </w:rPr>
        <w:t>2. Accionados</w:t>
      </w:r>
    </w:p>
    <w:p w14:paraId="6EEDDBA7" w14:textId="77777777" w:rsidR="00E36F92" w:rsidRPr="00E36F92" w:rsidRDefault="00E36F92" w:rsidP="00E36F92">
      <w:pPr>
        <w:pStyle w:val="Prrafodelista"/>
        <w:numPr>
          <w:ilvl w:val="0"/>
          <w:numId w:val="16"/>
        </w:numPr>
        <w:spacing w:after="160" w:line="300" w:lineRule="auto"/>
        <w:contextualSpacing w:val="0"/>
        <w:jc w:val="both"/>
        <w:rPr>
          <w:rFonts w:ascii="Verdana" w:hAnsi="Verdana"/>
          <w:color w:val="000000" w:themeColor="text1"/>
          <w:sz w:val="22"/>
          <w:szCs w:val="22"/>
        </w:rPr>
      </w:pPr>
      <w:r w:rsidRPr="00E36F92">
        <w:rPr>
          <w:rFonts w:ascii="Verdana" w:eastAsia="Arial" w:hAnsi="Verdana" w:cs="Arial"/>
          <w:color w:val="000000" w:themeColor="text1"/>
          <w:sz w:val="22"/>
          <w:szCs w:val="22"/>
        </w:rPr>
        <w:t>Juzgado Promiscuo Municipal de Condoto (Chocó), autor de la Sentencia No. 22 del 28 de abril de 2026, del auto de apertura del incidente de desacato del 12 de junio de 2026 y del auto de apertura a pruebas del 22 de junio de 2026, dentro del expediente No. 27-205-40-89-001-2026-00062-00.</w:t>
      </w:r>
    </w:p>
    <w:p w14:paraId="36107B0C" w14:textId="77777777" w:rsidR="00E36F92" w:rsidRPr="00E36F92" w:rsidRDefault="00E36F92" w:rsidP="00E36F92">
      <w:pPr>
        <w:pStyle w:val="Prrafodelista"/>
        <w:numPr>
          <w:ilvl w:val="0"/>
          <w:numId w:val="16"/>
        </w:numPr>
        <w:spacing w:after="160" w:line="300" w:lineRule="auto"/>
        <w:contextualSpacing w:val="0"/>
        <w:jc w:val="both"/>
        <w:rPr>
          <w:rFonts w:ascii="Verdana" w:hAnsi="Verdana"/>
          <w:color w:val="000000" w:themeColor="text1"/>
          <w:sz w:val="22"/>
          <w:szCs w:val="22"/>
        </w:rPr>
      </w:pPr>
      <w:r w:rsidRPr="00E36F92">
        <w:rPr>
          <w:rFonts w:ascii="Verdana" w:eastAsia="Arial" w:hAnsi="Verdana" w:cs="Arial"/>
          <w:color w:val="000000" w:themeColor="text1"/>
          <w:sz w:val="22"/>
          <w:szCs w:val="22"/>
        </w:rPr>
        <w:t>Juzgado Primero Penal del Circuito de Istmina (Chocó), autor de la Sentencia No. 012 del 29 de mayo de 2026, que modificó la Sentencia No. 22 del 28 de abril de 2026 e impartió órdenes directas al Ministerio del Interior — Dirección de Asuntos para Comunidades Negras, Afrocolombianas, Raizales y Palenqueras.</w:t>
      </w:r>
    </w:p>
    <w:p w14:paraId="314D4C0F" w14:textId="77777777" w:rsidR="00E36F92" w:rsidRPr="00E36F92" w:rsidRDefault="00E36F92" w:rsidP="00E36F92">
      <w:pPr>
        <w:pStyle w:val="Ttulo2"/>
        <w:spacing w:before="320" w:after="200"/>
        <w:rPr>
          <w:rFonts w:ascii="Verdana" w:hAnsi="Verdana"/>
          <w:color w:val="000000" w:themeColor="text1"/>
          <w:sz w:val="22"/>
          <w:szCs w:val="22"/>
        </w:rPr>
      </w:pPr>
      <w:r w:rsidRPr="00E36F92">
        <w:rPr>
          <w:rFonts w:ascii="Verdana" w:eastAsia="Arial" w:hAnsi="Verdana" w:cs="Arial"/>
          <w:b/>
          <w:bCs/>
          <w:color w:val="000000" w:themeColor="text1"/>
          <w:sz w:val="22"/>
          <w:szCs w:val="22"/>
        </w:rPr>
        <w:t>3. Vinculados (terceros con interés)</w:t>
      </w:r>
    </w:p>
    <w:p w14:paraId="7D6BA6F9" w14:textId="77777777" w:rsidR="00E36F92" w:rsidRPr="00E36F92" w:rsidRDefault="00E36F92" w:rsidP="00E36F92">
      <w:pPr>
        <w:pStyle w:val="Prrafodelista"/>
        <w:numPr>
          <w:ilvl w:val="0"/>
          <w:numId w:val="16"/>
        </w:numPr>
        <w:spacing w:after="160" w:line="300" w:lineRule="auto"/>
        <w:contextualSpacing w:val="0"/>
        <w:jc w:val="both"/>
        <w:rPr>
          <w:rFonts w:ascii="Verdana" w:hAnsi="Verdana"/>
          <w:color w:val="000000" w:themeColor="text1"/>
          <w:sz w:val="22"/>
          <w:szCs w:val="22"/>
        </w:rPr>
      </w:pPr>
      <w:r w:rsidRPr="00E36F92">
        <w:rPr>
          <w:rFonts w:ascii="Verdana" w:eastAsia="Arial" w:hAnsi="Verdana" w:cs="Arial"/>
          <w:color w:val="000000" w:themeColor="text1"/>
          <w:sz w:val="22"/>
          <w:szCs w:val="22"/>
        </w:rPr>
        <w:t>Alcaldía Municipal de Nóvita (Chocó) y el señor Alberto Williams Rivas Asprilla, en su calidad de alcalde.</w:t>
      </w:r>
    </w:p>
    <w:p w14:paraId="25F1A242" w14:textId="77777777" w:rsidR="00E36F92" w:rsidRPr="00E36F92" w:rsidRDefault="00E36F92" w:rsidP="00E36F92">
      <w:pPr>
        <w:pStyle w:val="Prrafodelista"/>
        <w:numPr>
          <w:ilvl w:val="0"/>
          <w:numId w:val="16"/>
        </w:numPr>
        <w:spacing w:after="160" w:line="300" w:lineRule="auto"/>
        <w:contextualSpacing w:val="0"/>
        <w:jc w:val="both"/>
        <w:rPr>
          <w:rFonts w:ascii="Verdana" w:hAnsi="Verdana"/>
          <w:color w:val="000000" w:themeColor="text1"/>
          <w:sz w:val="22"/>
          <w:szCs w:val="22"/>
        </w:rPr>
      </w:pPr>
      <w:r w:rsidRPr="00E36F92">
        <w:rPr>
          <w:rFonts w:ascii="Verdana" w:eastAsia="Arial" w:hAnsi="Verdana" w:cs="Arial"/>
          <w:color w:val="000000" w:themeColor="text1"/>
          <w:sz w:val="22"/>
          <w:szCs w:val="22"/>
        </w:rPr>
        <w:t xml:space="preserve">Señor Tulio Antonio Hurtado Ibarguen, accionante e </w:t>
      </w:r>
      <w:proofErr w:type="spellStart"/>
      <w:r w:rsidRPr="00E36F92">
        <w:rPr>
          <w:rFonts w:ascii="Verdana" w:eastAsia="Arial" w:hAnsi="Verdana" w:cs="Arial"/>
          <w:color w:val="000000" w:themeColor="text1"/>
          <w:sz w:val="22"/>
          <w:szCs w:val="22"/>
        </w:rPr>
        <w:t>incidentante</w:t>
      </w:r>
      <w:proofErr w:type="spellEnd"/>
      <w:r w:rsidRPr="00E36F92">
        <w:rPr>
          <w:rFonts w:ascii="Verdana" w:eastAsia="Arial" w:hAnsi="Verdana" w:cs="Arial"/>
          <w:color w:val="000000" w:themeColor="text1"/>
          <w:sz w:val="22"/>
          <w:szCs w:val="22"/>
        </w:rPr>
        <w:t xml:space="preserve"> dentro del proceso de origen.</w:t>
      </w:r>
    </w:p>
    <w:p w14:paraId="41EA84EF" w14:textId="77777777" w:rsidR="00E36F92" w:rsidRPr="00E36F92" w:rsidRDefault="00E36F92" w:rsidP="00E36F92">
      <w:pPr>
        <w:pStyle w:val="Prrafodelista"/>
        <w:numPr>
          <w:ilvl w:val="0"/>
          <w:numId w:val="16"/>
        </w:numPr>
        <w:spacing w:after="160" w:line="300" w:lineRule="auto"/>
        <w:contextualSpacing w:val="0"/>
        <w:jc w:val="both"/>
        <w:rPr>
          <w:rFonts w:ascii="Verdana" w:hAnsi="Verdana"/>
          <w:color w:val="000000" w:themeColor="text1"/>
          <w:sz w:val="22"/>
          <w:szCs w:val="22"/>
        </w:rPr>
      </w:pPr>
      <w:r w:rsidRPr="00E36F92">
        <w:rPr>
          <w:rFonts w:ascii="Verdana" w:eastAsia="Arial" w:hAnsi="Verdana" w:cs="Arial"/>
          <w:color w:val="000000" w:themeColor="text1"/>
          <w:sz w:val="22"/>
          <w:szCs w:val="22"/>
        </w:rPr>
        <w:t>Consejo Comunitario Mayor de Nóvita (COCOMAN) y su Comisión de Sabios.</w:t>
      </w:r>
    </w:p>
    <w:p w14:paraId="5CFA9F30" w14:textId="77777777" w:rsidR="00E36F92" w:rsidRPr="00E36F92" w:rsidRDefault="00E36F92" w:rsidP="00E36F92">
      <w:pPr>
        <w:pStyle w:val="Prrafodelista"/>
        <w:numPr>
          <w:ilvl w:val="0"/>
          <w:numId w:val="16"/>
        </w:numPr>
        <w:spacing w:after="160" w:line="300" w:lineRule="auto"/>
        <w:contextualSpacing w:val="0"/>
        <w:jc w:val="both"/>
        <w:rPr>
          <w:rFonts w:ascii="Verdana" w:hAnsi="Verdana"/>
          <w:color w:val="000000" w:themeColor="text1"/>
          <w:sz w:val="22"/>
          <w:szCs w:val="22"/>
        </w:rPr>
      </w:pPr>
      <w:r w:rsidRPr="00E36F92">
        <w:rPr>
          <w:rFonts w:ascii="Verdana" w:eastAsia="Arial" w:hAnsi="Verdana" w:cs="Arial"/>
          <w:color w:val="000000" w:themeColor="text1"/>
          <w:sz w:val="22"/>
          <w:szCs w:val="22"/>
        </w:rPr>
        <w:t>Señor James López Rivas, tercero con interés directo en la controversia electoral interna de COCOMAN.</w:t>
      </w:r>
    </w:p>
    <w:p w14:paraId="15B9D087" w14:textId="77777777" w:rsidR="00E36F92" w:rsidRPr="00E36F92" w:rsidRDefault="00E36F92" w:rsidP="00E36F92">
      <w:pPr>
        <w:pStyle w:val="Prrafodelista"/>
        <w:numPr>
          <w:ilvl w:val="0"/>
          <w:numId w:val="16"/>
        </w:numPr>
        <w:spacing w:after="160" w:line="300" w:lineRule="auto"/>
        <w:contextualSpacing w:val="0"/>
        <w:jc w:val="both"/>
        <w:rPr>
          <w:rFonts w:ascii="Verdana" w:hAnsi="Verdana"/>
          <w:color w:val="000000" w:themeColor="text1"/>
          <w:sz w:val="22"/>
          <w:szCs w:val="22"/>
        </w:rPr>
      </w:pPr>
      <w:r w:rsidRPr="00E36F92">
        <w:rPr>
          <w:rFonts w:ascii="Verdana" w:eastAsia="Arial" w:hAnsi="Verdana" w:cs="Arial"/>
          <w:color w:val="000000" w:themeColor="text1"/>
          <w:sz w:val="22"/>
          <w:szCs w:val="22"/>
        </w:rPr>
        <w:t>Gobernación del Chocó.</w:t>
      </w:r>
    </w:p>
    <w:p w14:paraId="14818797" w14:textId="2D927163" w:rsid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lastRenderedPageBreak/>
        <w:t>II. DERECHOS FUNDAMENTALES INVOCADOS</w:t>
      </w:r>
    </w:p>
    <w:p w14:paraId="6614A2E0" w14:textId="77777777" w:rsidR="00E36F92" w:rsidRPr="00E36F92" w:rsidRDefault="00E36F92" w:rsidP="00E36F92">
      <w:pPr>
        <w:rPr>
          <w:lang w:eastAsia="es-CO"/>
        </w:rPr>
      </w:pPr>
    </w:p>
    <w:p w14:paraId="7EF65B54" w14:textId="77777777" w:rsidR="00BE09AB" w:rsidRDefault="00BE09AB" w:rsidP="00BE09AB">
      <w:pPr>
        <w:pStyle w:val="Ttulo1"/>
        <w:jc w:val="both"/>
        <w:rPr>
          <w:rFonts w:ascii="Verdana" w:eastAsia="Arial" w:hAnsi="Verdana" w:cs="Arial"/>
          <w:color w:val="000000" w:themeColor="text1"/>
          <w:sz w:val="22"/>
          <w:szCs w:val="22"/>
          <w:lang w:eastAsia="es-ES_tradnl"/>
        </w:rPr>
      </w:pPr>
      <w:r w:rsidRPr="00BE09AB">
        <w:rPr>
          <w:rFonts w:ascii="Verdana" w:eastAsia="Arial" w:hAnsi="Verdana" w:cs="Arial"/>
          <w:color w:val="000000" w:themeColor="text1"/>
          <w:sz w:val="22"/>
          <w:szCs w:val="22"/>
          <w:lang w:eastAsia="es-ES_tradnl"/>
        </w:rPr>
        <w:t xml:space="preserve">Se invoca la vulneración de los derechos fundamentales al debido proceso administrativo y judicial (artículo 29 de la Constitución Política), de defensa y contradicción, de acceso a la administración de justicia (artículo 229 C.P.), al principio de legalidad y de competencia de las autoridades públicas (artículos 6, 121 y 122 C.P.), y a la presunción de buena fe y de legalidad de los actos administrativos proferidos en ejercicio de una competencia legalmente asignada (artículo 83 C.P.), todos ellos radicados en cabeza del Ministerio del Interior y, por conexidad, de los servidores públicos Antonio José Ballestas </w:t>
      </w:r>
      <w:proofErr w:type="spellStart"/>
      <w:r w:rsidRPr="00BE09AB">
        <w:rPr>
          <w:rFonts w:ascii="Verdana" w:eastAsia="Arial" w:hAnsi="Verdana" w:cs="Arial"/>
          <w:color w:val="000000" w:themeColor="text1"/>
          <w:sz w:val="22"/>
          <w:szCs w:val="22"/>
          <w:lang w:eastAsia="es-ES_tradnl"/>
        </w:rPr>
        <w:t>Ballestas</w:t>
      </w:r>
      <w:proofErr w:type="spellEnd"/>
      <w:r w:rsidRPr="00BE09AB">
        <w:rPr>
          <w:rFonts w:ascii="Verdana" w:eastAsia="Arial" w:hAnsi="Verdana" w:cs="Arial"/>
          <w:color w:val="000000" w:themeColor="text1"/>
          <w:sz w:val="22"/>
          <w:szCs w:val="22"/>
          <w:lang w:eastAsia="es-ES_tradnl"/>
        </w:rPr>
        <w:t xml:space="preserve"> y Héctor Gabriel Rondón Olave.</w:t>
      </w:r>
    </w:p>
    <w:p w14:paraId="05AD89CC" w14:textId="77777777" w:rsidR="00BE09AB" w:rsidRPr="00BE09AB" w:rsidRDefault="00BE09AB" w:rsidP="00BE09AB">
      <w:pPr>
        <w:rPr>
          <w:rFonts w:eastAsia="Arial"/>
        </w:rPr>
      </w:pPr>
    </w:p>
    <w:p w14:paraId="276C2112" w14:textId="74F53B71" w:rsid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t>III. HECHOS</w:t>
      </w:r>
    </w:p>
    <w:p w14:paraId="418F6791" w14:textId="77777777" w:rsidR="00BE09AB" w:rsidRPr="00647361" w:rsidRDefault="00BE09AB" w:rsidP="00647361">
      <w:pPr>
        <w:rPr>
          <w:lang w:eastAsia="es-CO"/>
        </w:rPr>
      </w:pPr>
    </w:p>
    <w:p w14:paraId="2ABD1F4F"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w:t>
      </w:r>
      <w:r w:rsidRPr="00BE09AB">
        <w:rPr>
          <w:rStyle w:val="animatingyu34g10"/>
          <w:rFonts w:ascii="Verdana" w:eastAsiaTheme="majorEastAsia" w:hAnsi="Verdana"/>
          <w:sz w:val="22"/>
          <w:szCs w:val="22"/>
        </w:rPr>
        <w:t xml:space="preserve"> El Consejo Comunitario Mayor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xml:space="preserve"> (COCOMAN) atravesó, entre octubre y diciembre de 2025, un conflicto electoral interno originado en dos convocatorias concurrentes a Asamblea General: una celebrada el 1° de diciembre de 2025, en la que resultó elegido representante legal el señor James López Rivas, y otra celebrada el 6 de diciembre de 2025, convocada por la Junta Directiva saliente del período 2023-2025, en la que fue elegido representante legal el señor Tulio Antonio Hurtado Ibargüen.</w:t>
      </w:r>
    </w:p>
    <w:p w14:paraId="3466F244"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3.2.</w:t>
      </w:r>
      <w:r w:rsidRPr="00BE09AB">
        <w:rPr>
          <w:rStyle w:val="animatingyu34g10"/>
          <w:rFonts w:ascii="Verdana" w:eastAsiaTheme="majorEastAsia" w:hAnsi="Verdana"/>
          <w:sz w:val="22"/>
          <w:szCs w:val="22"/>
        </w:rPr>
        <w:t xml:space="preserve"> El 4 de diciembre de 2025, el señor Jaime Velásquez Rivas, Secretario General y de Gobierno del Municipio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solicitó al Ministerio del Interior la actualización del Registro Público Único Nacional de Consejos Comunitarios respecto de la elección del 1° de diciembre de 2025, solicitud que fue atendida mediante Resolución No. RPU0452 del 5 de diciembre de 2025 y las correcciones formales contenidas en las Resoluciones No. RPU0455 y RPU0456, ambas del 6 de diciembre de 2025.</w:t>
      </w:r>
    </w:p>
    <w:p w14:paraId="6C68E900"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3.3.</w:t>
      </w:r>
      <w:r w:rsidRPr="00BE09AB">
        <w:rPr>
          <w:rStyle w:val="animatingyu34g10"/>
          <w:rFonts w:ascii="Verdana" w:eastAsiaTheme="majorEastAsia" w:hAnsi="Verdana"/>
          <w:sz w:val="22"/>
          <w:szCs w:val="22"/>
        </w:rPr>
        <w:t xml:space="preserve"> El señor Tulio Antonio Hurtado Ibargüen interpuso, el 9 de diciembre de 2025, recurso de reposición y en subsidio de apelación contra la Resolución RPU0452 de 2025, el cual fue resuelto por la Dirección de Asuntos para Comunidades Negras, Afrocolombianas, Raizales y Palenqueras (en adelante, la DACN) mediante Resolución No. RPU0481-2025 del 30 de diciembre de 2025.</w:t>
      </w:r>
    </w:p>
    <w:p w14:paraId="12D127B2" w14:textId="7CECA570" w:rsidR="00BE09AB" w:rsidRPr="00BE09AB" w:rsidRDefault="00BE09AB" w:rsidP="00BE09AB">
      <w:pPr>
        <w:pStyle w:val="font-claude-response-body"/>
        <w:jc w:val="both"/>
        <w:rPr>
          <w:rFonts w:ascii="Verdana" w:eastAsiaTheme="majorEastAsia" w:hAnsi="Verdana"/>
          <w:sz w:val="22"/>
          <w:szCs w:val="22"/>
        </w:rPr>
      </w:pPr>
      <w:r w:rsidRPr="00BE09AB">
        <w:rPr>
          <w:rStyle w:val="animatingyu34g10"/>
          <w:rFonts w:ascii="Verdana" w:eastAsiaTheme="majorEastAsia" w:hAnsi="Verdana"/>
          <w:b/>
          <w:bCs/>
          <w:sz w:val="22"/>
          <w:szCs w:val="22"/>
        </w:rPr>
        <w:lastRenderedPageBreak/>
        <w:t>3.4.</w:t>
      </w:r>
      <w:r w:rsidRPr="00BE09AB">
        <w:rPr>
          <w:rStyle w:val="animatingyu34g10"/>
          <w:rFonts w:ascii="Verdana" w:eastAsiaTheme="majorEastAsia" w:hAnsi="Verdana"/>
          <w:sz w:val="22"/>
          <w:szCs w:val="22"/>
        </w:rPr>
        <w:t xml:space="preserve"> Paralelamente, el señor James López Rivas promovió acción de tutela contra el Ministerio del Interior y la Alcaldía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xml:space="preserve"> ante el Juzgado Octavo Administrativo Oral del Circuito de Quibdó, trámite dentro del cual se profirieron las Resoluciones RPU033-2026 del 12 de febrero de 2026 y RPU051-2026 del 20 de febrero de 2026 en cumplimiento de lo allí ordenado, y que culminó, en segunda instancia ante el Tribunal Administrativo de Quibdó, con la expedición de la Resolución RPU0153-2026 del 24 de marzo de 2026, mediante la cual la DACN dio cumplimiento a lo dispuesto por dicho Tribunal.</w:t>
      </w:r>
    </w:p>
    <w:p w14:paraId="452079D9" w14:textId="77777777" w:rsidR="00BE09AB" w:rsidRPr="00BE09AB" w:rsidRDefault="00BE09AB" w:rsidP="00BE09AB">
      <w:pPr>
        <w:pStyle w:val="font-claude-response-body"/>
        <w:jc w:val="center"/>
        <w:rPr>
          <w:rFonts w:ascii="Verdana" w:hAnsi="Verdana"/>
          <w:sz w:val="22"/>
          <w:szCs w:val="22"/>
        </w:rPr>
      </w:pPr>
      <w:r w:rsidRPr="00BE09AB">
        <w:rPr>
          <w:rStyle w:val="animatingyu34g10"/>
          <w:rFonts w:ascii="Verdana" w:eastAsiaTheme="majorEastAsia" w:hAnsi="Verdana"/>
          <w:b/>
          <w:bCs/>
          <w:sz w:val="22"/>
          <w:szCs w:val="22"/>
        </w:rPr>
        <w:t>De la acción de tutela promovida por el señor Tulio Antonio Hurtado Ibargüen y de la Sentencia No. 22 del 28 de abril de 2026</w:t>
      </w:r>
    </w:p>
    <w:p w14:paraId="09EF5B18"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3.5.</w:t>
      </w:r>
      <w:r w:rsidRPr="00BE09AB">
        <w:rPr>
          <w:rStyle w:val="animatingyu34g10"/>
          <w:rFonts w:ascii="Verdana" w:eastAsiaTheme="majorEastAsia" w:hAnsi="Verdana"/>
          <w:sz w:val="22"/>
          <w:szCs w:val="22"/>
        </w:rPr>
        <w:t xml:space="preserve"> El señor Tulio Antonio Hurtado Ibargüen, actuando en causa propia, promovió una nueva acción de tutela, esta vez exclusivamente contra la Alcaldía Municipal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por la negativa de esta a tramitar la impugnación que había formulado contra el acta de elección del 6 de diciembre de 2025, mientras sí adelantaba el trámite de la impugnación relativa al acta del 1° de diciembre de 2025.</w:t>
      </w:r>
    </w:p>
    <w:p w14:paraId="3E86525A"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3.6.</w:t>
      </w:r>
      <w:r w:rsidRPr="00BE09AB">
        <w:rPr>
          <w:rStyle w:val="animatingyu34g10"/>
          <w:rFonts w:ascii="Verdana" w:eastAsiaTheme="majorEastAsia" w:hAnsi="Verdana"/>
          <w:sz w:val="22"/>
          <w:szCs w:val="22"/>
        </w:rPr>
        <w:t xml:space="preserve"> Conocida en primera instancia por el Juzgado Promiscuo Municipal de Condoto, la acción culminó con la Sentencia No. 22 del 28 de abril de 2026, en la cual el Despacho: (i) tuteló los derechos fundamentales al debido proceso administrativo, a la autonomía y al autogobierno del accionante; (</w:t>
      </w:r>
      <w:proofErr w:type="spellStart"/>
      <w:r w:rsidRPr="00BE09AB">
        <w:rPr>
          <w:rStyle w:val="animatingyu34g10"/>
          <w:rFonts w:ascii="Verdana" w:eastAsiaTheme="majorEastAsia" w:hAnsi="Verdana"/>
          <w:sz w:val="22"/>
          <w:szCs w:val="22"/>
        </w:rPr>
        <w:t>ii</w:t>
      </w:r>
      <w:proofErr w:type="spellEnd"/>
      <w:r w:rsidRPr="00BE09AB">
        <w:rPr>
          <w:rStyle w:val="animatingyu34g10"/>
          <w:rFonts w:ascii="Verdana" w:eastAsiaTheme="majorEastAsia" w:hAnsi="Verdana"/>
          <w:sz w:val="22"/>
          <w:szCs w:val="22"/>
        </w:rPr>
        <w:t xml:space="preserve">) ordenó, exclusivamente a la Alcaldía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registrar el acta del 6 de diciembre de 2025, abstenerse de valoraciones de fondo, rendir informe y remitir al Ministerio del Interior –DACN– la documentación relativa a la impugnación; y (</w:t>
      </w:r>
      <w:proofErr w:type="spellStart"/>
      <w:r w:rsidRPr="00BE09AB">
        <w:rPr>
          <w:rStyle w:val="animatingyu34g10"/>
          <w:rFonts w:ascii="Verdana" w:eastAsiaTheme="majorEastAsia" w:hAnsi="Verdana"/>
          <w:sz w:val="22"/>
          <w:szCs w:val="22"/>
        </w:rPr>
        <w:t>iii</w:t>
      </w:r>
      <w:proofErr w:type="spellEnd"/>
      <w:r w:rsidRPr="00BE09AB">
        <w:rPr>
          <w:rStyle w:val="animatingyu34g10"/>
          <w:rFonts w:ascii="Verdana" w:eastAsiaTheme="majorEastAsia" w:hAnsi="Verdana"/>
          <w:sz w:val="22"/>
          <w:szCs w:val="22"/>
        </w:rPr>
        <w:t xml:space="preserve">) en su numeral TERCERO, de manera expresa e inequívoca, resolvió: </w:t>
      </w:r>
      <w:r w:rsidRPr="00BE09AB">
        <w:rPr>
          <w:rStyle w:val="animatingyu34g10"/>
          <w:rFonts w:ascii="Verdana" w:eastAsiaTheme="majorEastAsia" w:hAnsi="Verdana"/>
          <w:i/>
          <w:iCs/>
          <w:sz w:val="22"/>
          <w:szCs w:val="22"/>
        </w:rPr>
        <w:t>"DESVINCULAR de la presente acción de tutela a la Procuraduría General de la Nación, al Ministerio del Interior y a James López Rivas por no acreditarse su participación con los hechos que originaron la presunta vulneración de los derechos fundamentales invocados"</w:t>
      </w:r>
      <w:r w:rsidRPr="00BE09AB">
        <w:rPr>
          <w:rStyle w:val="animatingyu34g10"/>
          <w:rFonts w:ascii="Verdana" w:eastAsiaTheme="majorEastAsia" w:hAnsi="Verdana"/>
          <w:sz w:val="22"/>
          <w:szCs w:val="22"/>
        </w:rPr>
        <w:t>.</w:t>
      </w:r>
    </w:p>
    <w:p w14:paraId="42122E19" w14:textId="77777777" w:rsidR="00BE09AB" w:rsidRDefault="00BE09AB" w:rsidP="00BE09AB">
      <w:pPr>
        <w:pStyle w:val="font-claude-response-body"/>
        <w:jc w:val="both"/>
        <w:rPr>
          <w:rStyle w:val="animatingyu34g10"/>
          <w:rFonts w:ascii="Verdana" w:eastAsiaTheme="majorEastAsia" w:hAnsi="Verdana"/>
          <w:sz w:val="22"/>
          <w:szCs w:val="22"/>
        </w:rPr>
      </w:pPr>
      <w:r w:rsidRPr="00BE09AB">
        <w:rPr>
          <w:rStyle w:val="animatingyu34g10"/>
          <w:rFonts w:ascii="Verdana" w:eastAsiaTheme="majorEastAsia" w:hAnsi="Verdana"/>
          <w:b/>
          <w:bCs/>
          <w:sz w:val="22"/>
          <w:szCs w:val="22"/>
        </w:rPr>
        <w:t>3.7.</w:t>
      </w:r>
      <w:r w:rsidRPr="00BE09AB">
        <w:rPr>
          <w:rStyle w:val="animatingyu34g10"/>
          <w:rFonts w:ascii="Verdana" w:eastAsiaTheme="majorEastAsia" w:hAnsi="Verdana"/>
          <w:sz w:val="22"/>
          <w:szCs w:val="22"/>
        </w:rPr>
        <w:t xml:space="preserve"> Es, entonces, un hecho procesal objetivo e indiscutible —porque consta en el propio texto de la parte resolutiva de la sentencia de primera instancia— que el Ministerio del Interior no fue destinatario de orden alguna en ese fallo, y que, por decisión expresa del propio juez de conocimiento, fue excluido del proceso constitucional por falta de acreditación de su participación en los hechos.</w:t>
      </w:r>
    </w:p>
    <w:p w14:paraId="44AE8FD6" w14:textId="77777777" w:rsidR="00BE09AB" w:rsidRDefault="00BE09AB" w:rsidP="00BE09AB">
      <w:pPr>
        <w:pStyle w:val="font-claude-response-body"/>
        <w:jc w:val="both"/>
        <w:rPr>
          <w:rStyle w:val="animatingyu34g10"/>
          <w:rFonts w:ascii="Verdana" w:eastAsiaTheme="majorEastAsia" w:hAnsi="Verdana"/>
          <w:sz w:val="22"/>
          <w:szCs w:val="22"/>
        </w:rPr>
      </w:pPr>
    </w:p>
    <w:p w14:paraId="24BB1780" w14:textId="77777777" w:rsidR="00BE09AB" w:rsidRPr="00BE09AB" w:rsidRDefault="00BE09AB" w:rsidP="00BE09AB">
      <w:pPr>
        <w:pStyle w:val="font-claude-response-body"/>
        <w:jc w:val="both"/>
        <w:rPr>
          <w:rFonts w:ascii="Verdana" w:hAnsi="Verdana"/>
          <w:sz w:val="22"/>
          <w:szCs w:val="22"/>
        </w:rPr>
      </w:pPr>
    </w:p>
    <w:p w14:paraId="4E7F4208" w14:textId="77777777" w:rsidR="00BE09AB" w:rsidRPr="00BE09AB" w:rsidRDefault="00BE09AB" w:rsidP="00BE09AB">
      <w:pPr>
        <w:pStyle w:val="font-claude-response-body"/>
        <w:jc w:val="center"/>
        <w:rPr>
          <w:rFonts w:ascii="Verdana" w:hAnsi="Verdana"/>
          <w:sz w:val="22"/>
          <w:szCs w:val="22"/>
        </w:rPr>
      </w:pPr>
      <w:r w:rsidRPr="00BE09AB">
        <w:rPr>
          <w:rStyle w:val="animatingyu34g10"/>
          <w:rFonts w:ascii="Verdana" w:eastAsiaTheme="majorEastAsia" w:hAnsi="Verdana"/>
          <w:b/>
          <w:bCs/>
          <w:sz w:val="22"/>
          <w:szCs w:val="22"/>
        </w:rPr>
        <w:lastRenderedPageBreak/>
        <w:t>De la impugnación y de la Sentencia No. 012 del 29 de mayo de 2026</w:t>
      </w:r>
    </w:p>
    <w:p w14:paraId="03151BA8"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3.8.</w:t>
      </w:r>
      <w:r w:rsidRPr="00BE09AB">
        <w:rPr>
          <w:rStyle w:val="animatingyu34g10"/>
          <w:rFonts w:ascii="Verdana" w:eastAsiaTheme="majorEastAsia" w:hAnsi="Verdana"/>
          <w:sz w:val="22"/>
          <w:szCs w:val="22"/>
        </w:rPr>
        <w:t xml:space="preserve"> La Sentencia No. 22 fue impugnada por la Alcaldía Municipal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xml:space="preserve">, por el señor James López Rivas y por el propio accionante Tulio Antonio Hurtado Ibargüen. En su escrito de impugnación, el accionante solicitó expresamente </w:t>
      </w:r>
      <w:r w:rsidRPr="00BE09AB">
        <w:rPr>
          <w:rStyle w:val="animatingyu34g10"/>
          <w:rFonts w:ascii="Verdana" w:eastAsiaTheme="majorEastAsia" w:hAnsi="Verdana"/>
          <w:i/>
          <w:iCs/>
          <w:sz w:val="22"/>
          <w:szCs w:val="22"/>
        </w:rPr>
        <w:t>"adicionar las órdenes a la entidad pública desvinculada Ministerio del Interior"</w:t>
      </w:r>
      <w:r w:rsidRPr="00BE09AB">
        <w:rPr>
          <w:rStyle w:val="animatingyu34g10"/>
          <w:rFonts w:ascii="Verdana" w:eastAsiaTheme="majorEastAsia" w:hAnsi="Verdana"/>
          <w:sz w:val="22"/>
          <w:szCs w:val="22"/>
        </w:rPr>
        <w:t>, invocando que dicha entidad sí contaba con competencias para resolver la controversia.</w:t>
      </w:r>
    </w:p>
    <w:p w14:paraId="5BD29AFA"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3.9.</w:t>
      </w:r>
      <w:r w:rsidRPr="00BE09AB">
        <w:rPr>
          <w:rStyle w:val="animatingyu34g10"/>
          <w:rFonts w:ascii="Verdana" w:eastAsiaTheme="majorEastAsia" w:hAnsi="Verdana"/>
          <w:sz w:val="22"/>
          <w:szCs w:val="22"/>
        </w:rPr>
        <w:t xml:space="preserve"> El Juzgado Primero Penal del Circuito de Istmina, al resolver la impugnación mediante Sentencia No. 012 del 29 de mayo de 2026, accedió a esa solicitud y, </w:t>
      </w:r>
      <w:r w:rsidRPr="00BE09AB">
        <w:rPr>
          <w:rStyle w:val="animatingyu34g10"/>
          <w:rFonts w:ascii="Verdana" w:eastAsiaTheme="majorEastAsia" w:hAnsi="Verdana"/>
          <w:i/>
          <w:iCs/>
          <w:sz w:val="22"/>
          <w:szCs w:val="22"/>
        </w:rPr>
        <w:t xml:space="preserve">"en uso de los poderes extra y ultra </w:t>
      </w:r>
      <w:proofErr w:type="spellStart"/>
      <w:r w:rsidRPr="00BE09AB">
        <w:rPr>
          <w:rStyle w:val="animatingyu34g10"/>
          <w:rFonts w:ascii="Verdana" w:eastAsiaTheme="majorEastAsia" w:hAnsi="Verdana"/>
          <w:i/>
          <w:iCs/>
          <w:sz w:val="22"/>
          <w:szCs w:val="22"/>
        </w:rPr>
        <w:t>petita</w:t>
      </w:r>
      <w:proofErr w:type="spellEnd"/>
      <w:r w:rsidRPr="00BE09AB">
        <w:rPr>
          <w:rStyle w:val="animatingyu34g10"/>
          <w:rFonts w:ascii="Verdana" w:eastAsiaTheme="majorEastAsia" w:hAnsi="Verdana"/>
          <w:i/>
          <w:iCs/>
          <w:sz w:val="22"/>
          <w:szCs w:val="22"/>
        </w:rPr>
        <w:t xml:space="preserve"> del juez de tutela"</w:t>
      </w:r>
      <w:r w:rsidRPr="00BE09AB">
        <w:rPr>
          <w:rStyle w:val="animatingyu34g10"/>
          <w:rFonts w:ascii="Verdana" w:eastAsiaTheme="majorEastAsia" w:hAnsi="Verdana"/>
          <w:sz w:val="22"/>
          <w:szCs w:val="22"/>
        </w:rPr>
        <w:t>, modificó íntegramente la parte resolutiva de la Sentencia No. 22 e impuso, por primera vez en todo el trámite constitucional, cuatro órdenes directas y perentorias contra el Ministerio del Interior –DACN– (numerales Quinto, Sexto, Séptimo y Octavo), consistentes en: implementar un protocolo de monitoreo y acompañamiento a las elecciones de COCOMAN; brindar garantías materiales para la reunión de las autoridades tradicionales; actualizar, en el término de cuarenta y ocho (48) horas, el Registro Público de Instituciones Representativas conforme a las decisiones de la Comisión de Sabios y la Asamblea del 6 de diciembre de 2025; y remitir, en el mismo término de 48 horas, el expediente administrativo a la Comisión de Sabios de COCOMAN.</w:t>
      </w:r>
    </w:p>
    <w:p w14:paraId="39904356" w14:textId="77777777" w:rsidR="00BE09AB" w:rsidRDefault="00BE09AB" w:rsidP="00BE09AB">
      <w:pPr>
        <w:pStyle w:val="font-claude-response-body"/>
        <w:jc w:val="both"/>
        <w:rPr>
          <w:rStyle w:val="animatingyu34g10"/>
          <w:rFonts w:ascii="Verdana" w:eastAsiaTheme="majorEastAsia" w:hAnsi="Verdana"/>
          <w:sz w:val="22"/>
          <w:szCs w:val="22"/>
        </w:rPr>
      </w:pPr>
      <w:r w:rsidRPr="00BE09AB">
        <w:rPr>
          <w:rStyle w:val="animatingyu34g10"/>
          <w:rFonts w:ascii="Verdana" w:eastAsiaTheme="majorEastAsia" w:hAnsi="Verdana"/>
          <w:b/>
          <w:bCs/>
          <w:sz w:val="22"/>
          <w:szCs w:val="22"/>
        </w:rPr>
        <w:t>3.10.</w:t>
      </w:r>
      <w:r w:rsidRPr="00BE09AB">
        <w:rPr>
          <w:rStyle w:val="animatingyu34g10"/>
          <w:rFonts w:ascii="Verdana" w:eastAsiaTheme="majorEastAsia" w:hAnsi="Verdana"/>
          <w:sz w:val="22"/>
          <w:szCs w:val="22"/>
        </w:rPr>
        <w:t xml:space="preserve"> El Ministerio del Interior jamás fue notificado de la existencia de esa impugnación, no fue convocado a rendir concepto o alegato alguno frente a la solicitud de adición de órdenes formulada por el accionante, no fue oído sobre su viabilidad técnica ni jurídica, y no tuvo oportunidad procesal de ejercer contradicción antes de que el fallo de segunda instancia le impusiera obligaciones perentorias de imposible cumplimiento en el brevísimo término de 48 horas. El Ministerio del Interior únicamente tuvo noticia de dichas órdenes al momento de la notificación de la Sentencia No. 012, esto es, en la fase de cumplimiento del fallo, cuando ya no le era procesalmente posible controvertir su imposición.</w:t>
      </w:r>
    </w:p>
    <w:p w14:paraId="51C50C37" w14:textId="77777777" w:rsidR="00BE09AB" w:rsidRPr="00BE09AB" w:rsidRDefault="00BE09AB" w:rsidP="00BE09AB">
      <w:pPr>
        <w:pStyle w:val="font-claude-response-body"/>
        <w:jc w:val="both"/>
        <w:rPr>
          <w:rFonts w:ascii="Verdana" w:hAnsi="Verdana"/>
          <w:sz w:val="22"/>
          <w:szCs w:val="22"/>
        </w:rPr>
      </w:pPr>
    </w:p>
    <w:p w14:paraId="6E7414E7" w14:textId="77777777" w:rsidR="00BE09AB" w:rsidRPr="00BE09AB" w:rsidRDefault="00BE09AB" w:rsidP="00BE09AB">
      <w:pPr>
        <w:pStyle w:val="font-claude-response-body"/>
        <w:jc w:val="center"/>
        <w:rPr>
          <w:rFonts w:ascii="Verdana" w:hAnsi="Verdana"/>
          <w:sz w:val="22"/>
          <w:szCs w:val="22"/>
        </w:rPr>
      </w:pPr>
      <w:r w:rsidRPr="00BE09AB">
        <w:rPr>
          <w:rStyle w:val="animatingyu34g10"/>
          <w:rFonts w:ascii="Verdana" w:eastAsiaTheme="majorEastAsia" w:hAnsi="Verdana"/>
          <w:b/>
          <w:bCs/>
          <w:sz w:val="22"/>
          <w:szCs w:val="22"/>
        </w:rPr>
        <w:t>Del trámite de cumplimiento y del incidente de desacato</w:t>
      </w:r>
    </w:p>
    <w:p w14:paraId="7652D9E0"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3.11.</w:t>
      </w:r>
      <w:r w:rsidRPr="00BE09AB">
        <w:rPr>
          <w:rStyle w:val="animatingyu34g10"/>
          <w:rFonts w:ascii="Verdana" w:eastAsiaTheme="majorEastAsia" w:hAnsi="Verdana"/>
          <w:sz w:val="22"/>
          <w:szCs w:val="22"/>
        </w:rPr>
        <w:t xml:space="preserve"> El 1° de junio de 2026, el Juzgado Primero Penal del Circuito de Istmina requirió a las autoridades vinculadas para que acreditaran el cumplimiento de las órdenes de la Sentencia No. 012.</w:t>
      </w:r>
    </w:p>
    <w:p w14:paraId="637D5F3C"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lastRenderedPageBreak/>
        <w:t>3.12.</w:t>
      </w:r>
      <w:r w:rsidRPr="00BE09AB">
        <w:rPr>
          <w:rStyle w:val="animatingyu34g10"/>
          <w:rFonts w:ascii="Verdana" w:eastAsiaTheme="majorEastAsia" w:hAnsi="Verdana"/>
          <w:sz w:val="22"/>
          <w:szCs w:val="22"/>
        </w:rPr>
        <w:t xml:space="preserve"> El 12 de junio de 2026, el Juzgado Promiscuo Municipal de Condoto —autoridad distinta de la que profirió la Sentencia No. 012— asumió el conocimiento del cumplimiento y, en un mismo día, (i) profirió un auto mediante el cual rechazó una solicitud de modulación de las órdenes formulada por el Ministerio del Interior, reiterando su obligatoriedad sin entrar a examinar los defectos de vinculación antes descritos, y (</w:t>
      </w:r>
      <w:proofErr w:type="spellStart"/>
      <w:r w:rsidRPr="00BE09AB">
        <w:rPr>
          <w:rStyle w:val="animatingyu34g10"/>
          <w:rFonts w:ascii="Verdana" w:eastAsiaTheme="majorEastAsia" w:hAnsi="Verdana"/>
          <w:sz w:val="22"/>
          <w:szCs w:val="22"/>
        </w:rPr>
        <w:t>ii</w:t>
      </w:r>
      <w:proofErr w:type="spellEnd"/>
      <w:r w:rsidRPr="00BE09AB">
        <w:rPr>
          <w:rStyle w:val="animatingyu34g10"/>
          <w:rFonts w:ascii="Verdana" w:eastAsiaTheme="majorEastAsia" w:hAnsi="Verdana"/>
          <w:sz w:val="22"/>
          <w:szCs w:val="22"/>
        </w:rPr>
        <w:t>) abrió el incidente de desacato No. 27-205-40-89-001-2026-00062-00, requiriendo al Ministerio del Interior –DACN– dar cumplimiento a lo ordenado en el término perentorio de un (1) día hábil, bajo la advertencia de sanciones de arresto y multa, y vinculando de oficio a la Procuraduría Delegada para Asuntos de Comunidades Negras y a la Secretaría de Transparencia de la Presidencia de la República.</w:t>
      </w:r>
    </w:p>
    <w:p w14:paraId="5BBB5A2F"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3.13.</w:t>
      </w:r>
      <w:r w:rsidRPr="00BE09AB">
        <w:rPr>
          <w:rStyle w:val="animatingyu34g10"/>
          <w:rFonts w:ascii="Verdana" w:eastAsiaTheme="majorEastAsia" w:hAnsi="Verdana"/>
          <w:sz w:val="22"/>
          <w:szCs w:val="22"/>
        </w:rPr>
        <w:t xml:space="preserve"> Ese mismo 12 de junio de 2026, la DACN, en ejercicio de su competencia administrativa reglada por el artículo 9 del Decreto 1745 de 1995, el artículo 2.5.1.5.2 del Decreto 1640 de 2020, el parágrafo 2° del artículo 2.5.1.2.9 del Decreto 1066 de 2015 y el artículo 9 del Decreto 714 de 2024, profirió la Resolución No. RUP0336-2026, mediante la cual resolvió en segunda instancia el recurso de apelación interpuesto por el señor Tulio Antonio Hurtado Ibargüen contra la Resolución 1010 del 6 de mayo de 2026, revocó dicho acto, dejó sin efectos la inscripción del acta del 1° de diciembre de 2025, ordenó inscribir el acta del 6 de diciembre de 2025 y actualizar el Registro Público Único Nacional, </w:t>
      </w:r>
      <w:r w:rsidRPr="00BE09AB">
        <w:rPr>
          <w:rStyle w:val="animatingyu34g10"/>
          <w:rFonts w:ascii="Verdana" w:eastAsiaTheme="majorEastAsia" w:hAnsi="Verdana"/>
          <w:i/>
          <w:iCs/>
          <w:sz w:val="22"/>
          <w:szCs w:val="22"/>
        </w:rPr>
        <w:t>"de conformidad con lo dispuesto en la Sentencia No. 012 del 29 de mayo de 2026"</w:t>
      </w:r>
      <w:r w:rsidRPr="00BE09AB">
        <w:rPr>
          <w:rStyle w:val="animatingyu34g10"/>
          <w:rFonts w:ascii="Verdana" w:eastAsiaTheme="majorEastAsia" w:hAnsi="Verdana"/>
          <w:sz w:val="22"/>
          <w:szCs w:val="22"/>
        </w:rPr>
        <w:t>. Es decir: en la misma fecha en que se abría el incidente de desacato en su contra, el Ministerio del Interior ya había resuelto de fondo, por el cauce administrativo que le es propio, exactamente lo que las órdenes judiciales perseguían, sin necesidad de coacción alguna.</w:t>
      </w:r>
    </w:p>
    <w:p w14:paraId="3D7FB1AA"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3.14.</w:t>
      </w:r>
      <w:r w:rsidRPr="00BE09AB">
        <w:rPr>
          <w:rStyle w:val="animatingyu34g10"/>
          <w:rFonts w:ascii="Verdana" w:eastAsiaTheme="majorEastAsia" w:hAnsi="Verdana"/>
          <w:sz w:val="22"/>
          <w:szCs w:val="22"/>
        </w:rPr>
        <w:t xml:space="preserve"> El 22 de junio de 2026, el Juzgado Promiscuo Municipal de Condoto profirió un nuevo auto interlocutorio mediante el cual abrió a pruebas el incidente por el término de un (1) día hábil y decretó, de oficio y sin traslado previo, la vinculación del Ministro del Interior, del Viceministro para el Diálogo Social, la Igualdad y los Derechos Humanos, doctor Héctor Gabriel Rondón Olave, y de la Secretaria General del Ministerio, como "superiores jerárquicos" de la DACN, ampliando así el círculo de sujetos pasivos de una eventual sanción personal sin que mediara respecto de ellos actuación previa alguna dentro del proceso.</w:t>
      </w:r>
    </w:p>
    <w:p w14:paraId="66CF9282"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3.15.</w:t>
      </w:r>
      <w:r w:rsidRPr="00BE09AB">
        <w:rPr>
          <w:rStyle w:val="animatingyu34g10"/>
          <w:rFonts w:ascii="Verdana" w:eastAsiaTheme="majorEastAsia" w:hAnsi="Verdana"/>
          <w:sz w:val="22"/>
          <w:szCs w:val="22"/>
        </w:rPr>
        <w:t xml:space="preserve"> El 25 de junio de 2026, el Ministro del Interior solicitó al Despacho un término de tres (3) días para acreditar el cumplimiento integral de las órdenes. El 26 de junio de 2026, el Juzgado concedió, en cambio, un (1) día hábil.</w:t>
      </w:r>
    </w:p>
    <w:p w14:paraId="44347791"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3.16.</w:t>
      </w:r>
      <w:r w:rsidRPr="00BE09AB">
        <w:rPr>
          <w:rStyle w:val="animatingyu34g10"/>
          <w:rFonts w:ascii="Verdana" w:eastAsiaTheme="majorEastAsia" w:hAnsi="Verdana"/>
          <w:sz w:val="22"/>
          <w:szCs w:val="22"/>
        </w:rPr>
        <w:t xml:space="preserve"> El 30 de junio de 2026, el Juzgado Promiscuo Municipal de Condoto profirió auto interlocutorio mediante el cual negó la prórroga extensiva solicitada, </w:t>
      </w:r>
      <w:r w:rsidRPr="00BE09AB">
        <w:rPr>
          <w:rStyle w:val="animatingyu34g10"/>
          <w:rFonts w:ascii="Verdana" w:eastAsiaTheme="majorEastAsia" w:hAnsi="Verdana"/>
          <w:sz w:val="22"/>
          <w:szCs w:val="22"/>
        </w:rPr>
        <w:lastRenderedPageBreak/>
        <w:t xml:space="preserve">vinculó formalmente al doctor Antonio José Ballestas </w:t>
      </w:r>
      <w:proofErr w:type="spellStart"/>
      <w:r w:rsidRPr="00BE09AB">
        <w:rPr>
          <w:rStyle w:val="animatingyu34g10"/>
          <w:rFonts w:ascii="Verdana" w:eastAsiaTheme="majorEastAsia" w:hAnsi="Verdana"/>
          <w:sz w:val="22"/>
          <w:szCs w:val="22"/>
        </w:rPr>
        <w:t>Ballestas</w:t>
      </w:r>
      <w:proofErr w:type="spellEnd"/>
      <w:r w:rsidRPr="00BE09AB">
        <w:rPr>
          <w:rStyle w:val="animatingyu34g10"/>
          <w:rFonts w:ascii="Verdana" w:eastAsiaTheme="majorEastAsia" w:hAnsi="Verdana"/>
          <w:sz w:val="22"/>
          <w:szCs w:val="22"/>
        </w:rPr>
        <w:t>, Director (E) de Asuntos para Comunidades Negras, como "funcionario obligado al cumplimiento material", le concedió un término perentorio e improrrogable de un (1) día hábil, y declaró cerrada la etapa probatoria del incidente.</w:t>
      </w:r>
    </w:p>
    <w:p w14:paraId="2BDBD68F"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3.17.</w:t>
      </w:r>
      <w:r w:rsidRPr="00BE09AB">
        <w:rPr>
          <w:rStyle w:val="animatingyu34g10"/>
          <w:rFonts w:ascii="Verdana" w:eastAsiaTheme="majorEastAsia" w:hAnsi="Verdana"/>
          <w:sz w:val="22"/>
          <w:szCs w:val="22"/>
        </w:rPr>
        <w:t xml:space="preserve"> El 6 de julio de 2026, el Director (E) de la DACN allegó informe relacionando las gestiones adelantadas: solicitud de información a la Alcaldía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elaboración de una propuesta de protocolo de monitoreo y acompañamiento, y traslado de recursos administrativos de apelación y queja —relacionados con el trámite registral, entonces integrados con una solicitud de recusación pendiente de resolver— al Viceministerio para el Diálogo Social.</w:t>
      </w:r>
    </w:p>
    <w:p w14:paraId="2BC30078"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3.18.</w:t>
      </w:r>
      <w:r w:rsidRPr="00BE09AB">
        <w:rPr>
          <w:rStyle w:val="animatingyu34g10"/>
          <w:rFonts w:ascii="Verdana" w:eastAsiaTheme="majorEastAsia" w:hAnsi="Verdana"/>
          <w:sz w:val="22"/>
          <w:szCs w:val="22"/>
        </w:rPr>
        <w:t xml:space="preserve"> Pese a lo anterior, mediante auto del 7 de julio de 2026, el Juzgado Promiscuo Municipal de Condoto declaró en desacato al alcalde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xml:space="preserve">, Alberto Williams Rivas Asprilla; al Director (E) de la DACN, Antonio José Ballestas </w:t>
      </w:r>
      <w:proofErr w:type="spellStart"/>
      <w:r w:rsidRPr="00BE09AB">
        <w:rPr>
          <w:rStyle w:val="animatingyu34g10"/>
          <w:rFonts w:ascii="Verdana" w:eastAsiaTheme="majorEastAsia" w:hAnsi="Verdana"/>
          <w:sz w:val="22"/>
          <w:szCs w:val="22"/>
        </w:rPr>
        <w:t>Ballestas</w:t>
      </w:r>
      <w:proofErr w:type="spellEnd"/>
      <w:r w:rsidRPr="00BE09AB">
        <w:rPr>
          <w:rStyle w:val="animatingyu34g10"/>
          <w:rFonts w:ascii="Verdana" w:eastAsiaTheme="majorEastAsia" w:hAnsi="Verdana"/>
          <w:sz w:val="22"/>
          <w:szCs w:val="22"/>
        </w:rPr>
        <w:t>; y al Viceministro Héctor Gabriel Rondón Olave, imponiendo a cada uno arresto de quince (15) días y multa de diez (10) salarios mínimos legales mensuales vigentes, librando en su contra orden de captura —condicionada a la firmeza de la providencia una vez surtido el grado jurisdiccional de consulta—, compulsando copias a la Fiscalía General de la Nación por el presunto delito de fraude a resolución judicial (artículo 454 del Código Penal) y a la Procuraduría General de la Nación para lo disciplinario, y conminando al Ministerio del Interior a cumplir integralmente en el término perentorio de dos (2) días hábiles.</w:t>
      </w:r>
    </w:p>
    <w:p w14:paraId="72F5D13C"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3.19.</w:t>
      </w:r>
      <w:r w:rsidRPr="00BE09AB">
        <w:rPr>
          <w:rStyle w:val="animatingyu34g10"/>
          <w:rFonts w:ascii="Verdana" w:eastAsiaTheme="majorEastAsia" w:hAnsi="Verdana"/>
          <w:sz w:val="22"/>
          <w:szCs w:val="22"/>
        </w:rPr>
        <w:t xml:space="preserve"> En cumplimiento de esa conminatoria, y sin perjuicio de que ya lo venía haciendo desde el 12 de junio de 2026 a través de la Resolución RUP0336-2026, la DACN expidió el 8 de julio de 2026 la Resolución No. RPU0398-2026, mediante la cual actualizó formalmente el Registro Público Único Nacional incorporando la Junta Directiva de COCOMAN elegida en la Asamblea del 6 de diciembre de 2025, notificó dicha resolución electrónicamente el mismo día al alcalde de </w:t>
      </w:r>
      <w:proofErr w:type="spellStart"/>
      <w:r w:rsidRPr="00BE09AB">
        <w:rPr>
          <w:rStyle w:val="animatingyu34g10"/>
          <w:rFonts w:ascii="Verdana" w:eastAsiaTheme="majorEastAsia" w:hAnsi="Verdana"/>
          <w:sz w:val="22"/>
          <w:szCs w:val="22"/>
        </w:rPr>
        <w:t>Nóvita</w:t>
      </w:r>
      <w:proofErr w:type="spellEnd"/>
      <w:r w:rsidRPr="00BE09AB">
        <w:rPr>
          <w:rStyle w:val="animatingyu34g10"/>
          <w:rFonts w:ascii="Verdana" w:eastAsiaTheme="majorEastAsia" w:hAnsi="Verdana"/>
          <w:sz w:val="22"/>
          <w:szCs w:val="22"/>
        </w:rPr>
        <w:t>, al señor Tulio Antonio Hurtado Ibargüen y a COCOMAN, reiteró a la Alcaldía la solicitud de la certificación pendiente, y remitió el expediente administrativo a la Asamblea General y a la Comisión de Sabios de COCOMAN el 9 de julio de 2026, en cumplimiento de la orden octava de la Sentencia No. 012.</w:t>
      </w:r>
    </w:p>
    <w:p w14:paraId="5B68DC3D" w14:textId="77777777" w:rsidR="00BE09AB" w:rsidRPr="00BE09AB" w:rsidRDefault="00BE09AB" w:rsidP="00BE09AB">
      <w:pPr>
        <w:pStyle w:val="font-claude-response-body"/>
        <w:jc w:val="both"/>
        <w:rPr>
          <w:rFonts w:ascii="Verdana" w:hAnsi="Verdana"/>
          <w:sz w:val="22"/>
          <w:szCs w:val="22"/>
        </w:rPr>
      </w:pPr>
      <w:r w:rsidRPr="00BE09AB">
        <w:rPr>
          <w:rStyle w:val="animatingyu34g10"/>
          <w:rFonts w:ascii="Verdana" w:eastAsiaTheme="majorEastAsia" w:hAnsi="Verdana"/>
          <w:b/>
          <w:bCs/>
          <w:sz w:val="22"/>
          <w:szCs w:val="22"/>
        </w:rPr>
        <w:t>3.20.</w:t>
      </w:r>
      <w:r w:rsidRPr="00BE09AB">
        <w:rPr>
          <w:rStyle w:val="animatingyu34g10"/>
          <w:rFonts w:ascii="Verdana" w:eastAsiaTheme="majorEastAsia" w:hAnsi="Verdana"/>
          <w:sz w:val="22"/>
          <w:szCs w:val="22"/>
        </w:rPr>
        <w:t xml:space="preserve"> El 9 de julio de 2026, el doctor Andrés </w:t>
      </w:r>
      <w:proofErr w:type="spellStart"/>
      <w:r w:rsidRPr="00BE09AB">
        <w:rPr>
          <w:rStyle w:val="animatingyu34g10"/>
          <w:rFonts w:ascii="Verdana" w:eastAsiaTheme="majorEastAsia" w:hAnsi="Verdana"/>
          <w:sz w:val="22"/>
          <w:szCs w:val="22"/>
        </w:rPr>
        <w:t>Zamir</w:t>
      </w:r>
      <w:proofErr w:type="spellEnd"/>
      <w:r w:rsidRPr="00BE09AB">
        <w:rPr>
          <w:rStyle w:val="animatingyu34g10"/>
          <w:rFonts w:ascii="Verdana" w:eastAsiaTheme="majorEastAsia" w:hAnsi="Verdana"/>
          <w:sz w:val="22"/>
          <w:szCs w:val="22"/>
        </w:rPr>
        <w:t xml:space="preserve"> López Robles, en su calidad de Director Jurídico Encargado del Ministerio del Interior, presentó ante el Juzgado Civil del Circuito de Istmina —autoridad ante quien se surte el grado jurisdiccional de consulta del auto sancionatorio del 7 de julio de 2026, conforme al artículo 52, inciso 2°, del Decreto 2591 de 1991— un informe de cumplimiento y solicitud de revocatoria de la sanción impuesta a los doctores Ballestas </w:t>
      </w:r>
      <w:proofErr w:type="spellStart"/>
      <w:r w:rsidRPr="00BE09AB">
        <w:rPr>
          <w:rStyle w:val="animatingyu34g10"/>
          <w:rFonts w:ascii="Verdana" w:eastAsiaTheme="majorEastAsia" w:hAnsi="Verdana"/>
          <w:sz w:val="22"/>
          <w:szCs w:val="22"/>
        </w:rPr>
        <w:t>Ballestas</w:t>
      </w:r>
      <w:proofErr w:type="spellEnd"/>
      <w:r w:rsidRPr="00BE09AB">
        <w:rPr>
          <w:rStyle w:val="animatingyu34g10"/>
          <w:rFonts w:ascii="Verdana" w:eastAsiaTheme="majorEastAsia" w:hAnsi="Verdana"/>
          <w:sz w:val="22"/>
          <w:szCs w:val="22"/>
        </w:rPr>
        <w:t xml:space="preserve"> y Rondón Olave, así como de levantamiento de la orden de captura </w:t>
      </w:r>
      <w:r w:rsidRPr="00BE09AB">
        <w:rPr>
          <w:rStyle w:val="animatingyu34g10"/>
          <w:rFonts w:ascii="Verdana" w:eastAsiaTheme="majorEastAsia" w:hAnsi="Verdana"/>
          <w:sz w:val="22"/>
          <w:szCs w:val="22"/>
        </w:rPr>
        <w:lastRenderedPageBreak/>
        <w:t>librada en su contra, con fundamento en el cumplimiento acreditado de las órdenes de la Sentencia No. 012. A la fecha de presentación de esta acción de tutela, dicha consulta se encuentra pendiente de resolución, sin que se conozca decisión de fondo.</w:t>
      </w:r>
    </w:p>
    <w:p w14:paraId="60D5EA4C" w14:textId="77777777" w:rsidR="00BE09AB" w:rsidRDefault="00BE09AB" w:rsidP="00BE09AB">
      <w:pPr>
        <w:pStyle w:val="font-claude-response-body"/>
        <w:jc w:val="both"/>
        <w:rPr>
          <w:rStyle w:val="animatingyu34g10"/>
          <w:rFonts w:ascii="Verdana" w:eastAsiaTheme="majorEastAsia" w:hAnsi="Verdana"/>
          <w:sz w:val="22"/>
          <w:szCs w:val="22"/>
        </w:rPr>
      </w:pPr>
      <w:r w:rsidRPr="00BE09AB">
        <w:rPr>
          <w:rStyle w:val="animatingyu34g10"/>
          <w:rFonts w:ascii="Verdana" w:eastAsiaTheme="majorEastAsia" w:hAnsi="Verdana"/>
          <w:b/>
          <w:bCs/>
          <w:sz w:val="22"/>
          <w:szCs w:val="22"/>
        </w:rPr>
        <w:t>3.21.</w:t>
      </w:r>
      <w:r w:rsidRPr="00BE09AB">
        <w:rPr>
          <w:rStyle w:val="animatingyu34g10"/>
          <w:rFonts w:ascii="Verdana" w:eastAsiaTheme="majorEastAsia" w:hAnsi="Verdana"/>
          <w:sz w:val="22"/>
          <w:szCs w:val="22"/>
        </w:rPr>
        <w:t xml:space="preserve"> En consecuencia, el Ministerio del Interior ha sido, a lo largo de todo el trámite constitucional posterior a la Sentencia No. 22, objeto de órdenes judiciales directas, de un incidente de desacato y de sanciones personales de arresto y multa contra dos de sus funcionarios, así como de compulsa de copias penales y disciplinarias, sin que en ningún momento anterior a la imposición de dichas órdenes hubiese sido oído, vinculado en debida forma o convocado a ejercer su derecho de defensa y contradicción; y ello a pesar de que, en la misma providencia que lo vinculó tardíamente al proceso, se reconoce que había sido previamente desvinculado por decisión judicial en firme.</w:t>
      </w:r>
    </w:p>
    <w:p w14:paraId="3578C976" w14:textId="77777777" w:rsidR="00BE09AB" w:rsidRPr="00BE09AB" w:rsidRDefault="00BE09AB" w:rsidP="00BE09AB">
      <w:pPr>
        <w:pStyle w:val="font-claude-response-body"/>
        <w:jc w:val="both"/>
        <w:rPr>
          <w:rFonts w:ascii="Verdana" w:hAnsi="Verdana"/>
          <w:sz w:val="22"/>
          <w:szCs w:val="22"/>
        </w:rPr>
      </w:pPr>
    </w:p>
    <w:p w14:paraId="1FC013B2" w14:textId="77777777" w:rsidR="00E36F92" w:rsidRPr="00E36F92" w:rsidRDefault="00E36F92" w:rsidP="00E36F92">
      <w:pPr>
        <w:pStyle w:val="Ttulo1"/>
        <w:jc w:val="center"/>
        <w:rPr>
          <w:rFonts w:ascii="Verdana" w:hAnsi="Verdana"/>
          <w:color w:val="000000" w:themeColor="text1"/>
          <w:sz w:val="22"/>
          <w:szCs w:val="22"/>
        </w:rPr>
      </w:pPr>
      <w:r w:rsidRPr="00E36F92">
        <w:rPr>
          <w:rFonts w:ascii="Verdana" w:eastAsia="Arial" w:hAnsi="Verdana" w:cs="Arial"/>
          <w:b/>
          <w:bCs/>
          <w:color w:val="000000" w:themeColor="text1"/>
          <w:sz w:val="22"/>
          <w:szCs w:val="22"/>
        </w:rPr>
        <w:t>IV. FUNDAMENTOS DE DERECHO</w:t>
      </w:r>
    </w:p>
    <w:p w14:paraId="29C4ED06" w14:textId="77777777" w:rsidR="00BE09AB" w:rsidRDefault="00BE09AB" w:rsidP="00BE09AB">
      <w:pPr>
        <w:pStyle w:val="font-claude-response-body"/>
        <w:jc w:val="both"/>
        <w:rPr>
          <w:rFonts w:ascii="Verdana" w:hAnsi="Verdana"/>
          <w:sz w:val="22"/>
          <w:szCs w:val="22"/>
        </w:rPr>
      </w:pPr>
      <w:r w:rsidRPr="00BE09AB">
        <w:rPr>
          <w:rFonts w:ascii="Verdana" w:hAnsi="Verdana"/>
          <w:b/>
          <w:bCs/>
          <w:sz w:val="22"/>
          <w:szCs w:val="22"/>
        </w:rPr>
        <w:t>4.1.</w:t>
      </w:r>
      <w:r w:rsidRPr="00BE09AB">
        <w:rPr>
          <w:rFonts w:ascii="Verdana" w:hAnsi="Verdana"/>
          <w:sz w:val="22"/>
          <w:szCs w:val="22"/>
        </w:rPr>
        <w:t xml:space="preserve"> </w:t>
      </w:r>
      <w:r w:rsidRPr="00BE09AB">
        <w:rPr>
          <w:rStyle w:val="Textoennegrita"/>
          <w:rFonts w:ascii="Verdana" w:eastAsiaTheme="majorEastAsia" w:hAnsi="Verdana"/>
          <w:sz w:val="22"/>
          <w:szCs w:val="22"/>
        </w:rPr>
        <w:t>Procedencia excepcional de la tutela contra providencias judiciales.</w:t>
      </w:r>
      <w:r w:rsidRPr="00BE09AB">
        <w:rPr>
          <w:rFonts w:ascii="Verdana" w:hAnsi="Verdana"/>
          <w:sz w:val="22"/>
          <w:szCs w:val="22"/>
        </w:rPr>
        <w:t xml:space="preserve"> </w:t>
      </w:r>
    </w:p>
    <w:p w14:paraId="651E3569" w14:textId="69A994F8" w:rsidR="00BE09AB" w:rsidRPr="00BE09AB" w:rsidRDefault="00BE09AB" w:rsidP="00BE09AB">
      <w:pPr>
        <w:pStyle w:val="font-claude-response-body"/>
        <w:jc w:val="both"/>
        <w:rPr>
          <w:rFonts w:ascii="Verdana" w:hAnsi="Verdana"/>
          <w:sz w:val="22"/>
          <w:szCs w:val="22"/>
        </w:rPr>
      </w:pPr>
      <w:r w:rsidRPr="00BE09AB">
        <w:rPr>
          <w:rFonts w:ascii="Verdana" w:hAnsi="Verdana"/>
          <w:sz w:val="22"/>
          <w:szCs w:val="22"/>
        </w:rPr>
        <w:t>De conformidad con la doctrina constitucional consolidada desde la Sentencia C-543 de 1992, M.P. José Gregorio Hernández Galindo, y sistematizada de manera unificada en la Sentencia C-590 de 2005, M.P. Jaime Córdoba Triviño, la acción de tutela procede excepcionalmente contra providencias judiciales cuando se acreditan, de un lado, los requisitos generales de procedibilidad (relevancia constitucional del asunto, agotamiento de los medios ordinarios y extraordinarios de defensa —subsidiariedad—, inmediatez, que la irregularidad procesal alegada tenga un efecto decisivo en la decisión que se impugna, identificación razonable de los hechos generadores de la vulneración, y que no se trate de una tutela contra sentencia de tutela, salvo las excepciones reconocidas por la jurisprudencia) y, de otro, al menos una de las causales específicas de procedibilidad, entre ellas el defecto orgánico, el defecto procedimental absoluto, el defecto fáctico, el defecto sustantivo y la violación directa de la Constitución.</w:t>
      </w:r>
    </w:p>
    <w:p w14:paraId="52F3DD80" w14:textId="77777777" w:rsidR="00BE09AB" w:rsidRDefault="00BE09AB" w:rsidP="00BE09AB">
      <w:pPr>
        <w:pStyle w:val="font-claude-response-body"/>
        <w:jc w:val="both"/>
        <w:rPr>
          <w:rFonts w:ascii="Verdana" w:hAnsi="Verdana"/>
          <w:sz w:val="22"/>
          <w:szCs w:val="22"/>
        </w:rPr>
      </w:pPr>
      <w:r w:rsidRPr="00BE09AB">
        <w:rPr>
          <w:rFonts w:ascii="Verdana" w:hAnsi="Verdana"/>
          <w:b/>
          <w:bCs/>
          <w:sz w:val="22"/>
          <w:szCs w:val="22"/>
        </w:rPr>
        <w:t>4.1.1.</w:t>
      </w:r>
      <w:r w:rsidRPr="00BE09AB">
        <w:rPr>
          <w:rFonts w:ascii="Verdana" w:hAnsi="Verdana"/>
          <w:sz w:val="22"/>
          <w:szCs w:val="22"/>
        </w:rPr>
        <w:t xml:space="preserve"> La Sentencia T-231 de 1994, M.P. Eduardo Cifuentes Muñoz, definió tempranamente estas categorías, entendiendo por defecto orgánico la carencia absoluta de competencia del funcionario judicial para adoptar la decisión, y por defecto procedimental absoluto el desconocimiento del procedimiento </w:t>
      </w:r>
      <w:r w:rsidRPr="00BE09AB">
        <w:rPr>
          <w:rFonts w:ascii="Verdana" w:hAnsi="Verdana"/>
          <w:sz w:val="22"/>
          <w:szCs w:val="22"/>
        </w:rPr>
        <w:lastRenderedPageBreak/>
        <w:t>establecido, de tal entidad que el afectado queda desprovisto de las garantías propias del derecho de defensa y contradicción.</w:t>
      </w:r>
    </w:p>
    <w:p w14:paraId="305A3E78" w14:textId="77777777" w:rsidR="00BE09AB" w:rsidRPr="00BE09AB" w:rsidRDefault="00BE09AB" w:rsidP="00BE09AB">
      <w:pPr>
        <w:pStyle w:val="font-claude-response-body"/>
        <w:jc w:val="both"/>
        <w:rPr>
          <w:rFonts w:ascii="Verdana" w:hAnsi="Verdana"/>
          <w:sz w:val="22"/>
          <w:szCs w:val="22"/>
        </w:rPr>
      </w:pPr>
    </w:p>
    <w:p w14:paraId="708567F7"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4.2.</w:t>
      </w:r>
      <w:r w:rsidRPr="00BE09AB">
        <w:rPr>
          <w:rFonts w:ascii="Verdana" w:hAnsi="Verdana"/>
          <w:sz w:val="22"/>
          <w:szCs w:val="22"/>
        </w:rPr>
        <w:t xml:space="preserve"> </w:t>
      </w:r>
      <w:r w:rsidRPr="00BE09AB">
        <w:rPr>
          <w:rStyle w:val="Textoennegrita"/>
          <w:rFonts w:ascii="Verdana" w:eastAsiaTheme="majorEastAsia" w:hAnsi="Verdana"/>
          <w:sz w:val="22"/>
          <w:szCs w:val="22"/>
        </w:rPr>
        <w:t>La regla de improcedencia de tutela contra tutela y su excepción cuando se afectan derechos de terceros no vinculados.</w:t>
      </w:r>
      <w:r w:rsidRPr="00BE09AB">
        <w:rPr>
          <w:rFonts w:ascii="Verdana" w:hAnsi="Verdana"/>
          <w:sz w:val="22"/>
          <w:szCs w:val="22"/>
        </w:rPr>
        <w:t xml:space="preserve"> Es cierto que, como regla general, la jurisprudencia constitucional —entre otras, la Sentencia SU-1219 de 2001— ha proscrito la procedencia de la acción de tutela contra sentencias de tutela, en salvaguarda de la seguridad jurídica y de la cosa juzgada constitucional. Sin embargo, esa misma línea jurisprudencial ha admitido de manera excepcional que la tutela proceda cuando quien la promueve es un tercero cuyos derechos fundamentales resultaron afectados por el fallo constitucional sin haber tenido la oportunidad de intervenir en el trámite que le dio origen, pues en tal hipótesis no se está controvirtiendo la protección otorgada al accionante original, sino denunciando la afectación autónoma de un derecho fundamental propio, generada por una decisión en cuya formación el afectado no tuvo voz.</w:t>
      </w:r>
    </w:p>
    <w:p w14:paraId="48F26138" w14:textId="77777777" w:rsidR="00BE09AB" w:rsidRDefault="00BE09AB" w:rsidP="00BE09AB">
      <w:pPr>
        <w:pStyle w:val="font-claude-response-body"/>
        <w:jc w:val="both"/>
        <w:rPr>
          <w:rFonts w:ascii="Verdana" w:hAnsi="Verdana"/>
          <w:sz w:val="22"/>
          <w:szCs w:val="22"/>
        </w:rPr>
      </w:pPr>
      <w:r w:rsidRPr="00BE09AB">
        <w:rPr>
          <w:rFonts w:ascii="Verdana" w:hAnsi="Verdana"/>
          <w:b/>
          <w:bCs/>
          <w:sz w:val="22"/>
          <w:szCs w:val="22"/>
        </w:rPr>
        <w:t>4.2.1.</w:t>
      </w:r>
      <w:r w:rsidRPr="00BE09AB">
        <w:rPr>
          <w:rFonts w:ascii="Verdana" w:hAnsi="Verdana"/>
          <w:sz w:val="22"/>
          <w:szCs w:val="22"/>
        </w:rPr>
        <w:t xml:space="preserve"> </w:t>
      </w:r>
      <w:r w:rsidRPr="00BE09AB">
        <w:rPr>
          <w:rFonts w:ascii="Verdana" w:hAnsi="Verdana"/>
          <w:b/>
          <w:bCs/>
          <w:sz w:val="22"/>
          <w:szCs w:val="22"/>
        </w:rPr>
        <w:t>El presente caso se enmarca precisamente en esa segunda hipótesis:</w:t>
      </w:r>
      <w:r w:rsidRPr="00BE09AB">
        <w:rPr>
          <w:rFonts w:ascii="Verdana" w:hAnsi="Verdana"/>
          <w:sz w:val="22"/>
          <w:szCs w:val="22"/>
        </w:rPr>
        <w:t xml:space="preserve"> el Ministerio del Interior no cuestiona la protección de los derechos fundamentales del señor Tulio Antonio Hurtado Ibargüen ni de la comunidad de COCOMAN a la identidad étnica, la autonomía y el autogobierno —protección que, en lo que atañe a la Alcaldía de </w:t>
      </w:r>
      <w:proofErr w:type="spellStart"/>
      <w:r w:rsidRPr="00BE09AB">
        <w:rPr>
          <w:rFonts w:ascii="Verdana" w:hAnsi="Verdana"/>
          <w:sz w:val="22"/>
          <w:szCs w:val="22"/>
        </w:rPr>
        <w:t>Nóvita</w:t>
      </w:r>
      <w:proofErr w:type="spellEnd"/>
      <w:r w:rsidRPr="00BE09AB">
        <w:rPr>
          <w:rFonts w:ascii="Verdana" w:hAnsi="Verdana"/>
          <w:sz w:val="22"/>
          <w:szCs w:val="22"/>
        </w:rPr>
        <w:t>, no es objeto de esta acción—; lo que se cuestiona, exclusivamente, es la imposición de órdenes vinculantes, con consecuencias penales y disciplinarias, contra una entidad que había sido expresamente desvinculada del proceso en primera instancia y que jamás fue convocada a ejercer contradicción antes de que dichas órdenes le fueran impuestas en segunda instancia.</w:t>
      </w:r>
    </w:p>
    <w:p w14:paraId="7968BA67" w14:textId="77777777" w:rsidR="00BE09AB" w:rsidRPr="00BE09AB" w:rsidRDefault="00BE09AB" w:rsidP="00BE09AB">
      <w:pPr>
        <w:pStyle w:val="font-claude-response-body"/>
        <w:jc w:val="both"/>
        <w:rPr>
          <w:rFonts w:ascii="Verdana" w:hAnsi="Verdana"/>
          <w:sz w:val="22"/>
          <w:szCs w:val="22"/>
        </w:rPr>
      </w:pPr>
    </w:p>
    <w:p w14:paraId="1588902A"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4.3.</w:t>
      </w:r>
      <w:r w:rsidRPr="00BE09AB">
        <w:rPr>
          <w:rFonts w:ascii="Verdana" w:hAnsi="Verdana"/>
          <w:sz w:val="22"/>
          <w:szCs w:val="22"/>
        </w:rPr>
        <w:t xml:space="preserve"> </w:t>
      </w:r>
      <w:r w:rsidRPr="00BE09AB">
        <w:rPr>
          <w:rStyle w:val="Textoennegrita"/>
          <w:rFonts w:ascii="Verdana" w:eastAsiaTheme="majorEastAsia" w:hAnsi="Verdana"/>
          <w:sz w:val="22"/>
          <w:szCs w:val="22"/>
        </w:rPr>
        <w:t>Causales específicas de procedibilidad configuradas.</w:t>
      </w:r>
    </w:p>
    <w:p w14:paraId="330F6789"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4.3.1.</w:t>
      </w:r>
      <w:r w:rsidRPr="00BE09AB">
        <w:rPr>
          <w:rFonts w:ascii="Verdana" w:hAnsi="Verdana"/>
          <w:sz w:val="22"/>
          <w:szCs w:val="22"/>
        </w:rPr>
        <w:t xml:space="preserve"> </w:t>
      </w:r>
      <w:r w:rsidRPr="00BE09AB">
        <w:rPr>
          <w:rStyle w:val="nfasis"/>
          <w:rFonts w:ascii="Verdana" w:eastAsiaTheme="majorEastAsia" w:hAnsi="Verdana"/>
          <w:b/>
          <w:bCs/>
          <w:sz w:val="22"/>
          <w:szCs w:val="22"/>
        </w:rPr>
        <w:t>Defecto orgánico y procedimental absoluto por integración indebida del contradictorio.</w:t>
      </w:r>
      <w:r w:rsidRPr="00BE09AB">
        <w:rPr>
          <w:rFonts w:ascii="Verdana" w:hAnsi="Verdana"/>
          <w:sz w:val="22"/>
          <w:szCs w:val="22"/>
        </w:rPr>
        <w:t xml:space="preserve"> El artículo 13 del Decreto 2591 de 1991 dispone que quien tuviere un interés legítimo en el resultado del proceso de tutela podrá intervenir en él, previsión que presupone, correlativamente, que a nadie puede imponérsele el resultado de un proceso constitucional en el que no tuvo oportunidad de intervenir. En el caso concreto, el Juzgado Primero Penal del Circuito de Istmina, al resolver la impugnación, no se limitó a confirmar o revocar </w:t>
      </w:r>
      <w:r w:rsidRPr="00BE09AB">
        <w:rPr>
          <w:rFonts w:ascii="Verdana" w:hAnsi="Verdana"/>
          <w:sz w:val="22"/>
          <w:szCs w:val="22"/>
        </w:rPr>
        <w:lastRenderedPageBreak/>
        <w:t>lo decidido por el a quo respecto de las partes ya vinculadas, sino que extendió los efectos vinculantes del fallo a una entidad —el Ministerio del Interior— que, por decisión judicial expresa y en firme del propio proceso, había sido desvinculada por falta de acreditación de su participación en los hechos. Esa ampliación se produjo sin notificación previa al Ministerio de la existencia de la solicitud de adición de órdenes, sin traslado para pronunciarse sobre su viabilidad, y sin que mediara ninguna actuación procesal que le permitiera ejercer su derecho de defensa antes de que la orden le fuera impuesta con un término de cumplimiento de apenas cuarenta y ocho (48) horas. Tal proceder configura, simultáneamente, un defecto orgánico —en cuanto el juez de segunda instancia excedió el ámbito de su competencia funcional al imponer obligaciones sustantivas a quien no era parte procesal en el momento de proferirse el fallo impugnado— y un defecto procedimental absoluto, por desconocimiento integral de las garantías de notificación, traslado y contradicción que son consustanciales al debido proceso, inclusive en el trámite sumario y preferente de la acción de tutela.</w:t>
      </w:r>
    </w:p>
    <w:p w14:paraId="7103C929"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4.3.2.</w:t>
      </w:r>
      <w:r w:rsidRPr="00BE09AB">
        <w:rPr>
          <w:rFonts w:ascii="Verdana" w:hAnsi="Verdana"/>
          <w:sz w:val="22"/>
          <w:szCs w:val="22"/>
        </w:rPr>
        <w:t xml:space="preserve"> </w:t>
      </w:r>
      <w:r w:rsidRPr="00BE09AB">
        <w:rPr>
          <w:rStyle w:val="nfasis"/>
          <w:rFonts w:ascii="Verdana" w:eastAsiaTheme="majorEastAsia" w:hAnsi="Verdana"/>
          <w:b/>
          <w:bCs/>
          <w:sz w:val="22"/>
          <w:szCs w:val="22"/>
        </w:rPr>
        <w:t>Defecto procedimental absoluto en el trámite del incidente de desacato.</w:t>
      </w:r>
      <w:r w:rsidRPr="00BE09AB">
        <w:rPr>
          <w:rFonts w:ascii="Verdana" w:hAnsi="Verdana"/>
          <w:b/>
          <w:bCs/>
          <w:sz w:val="22"/>
          <w:szCs w:val="22"/>
        </w:rPr>
        <w:t xml:space="preserve"> La misma falla se repite y se agrava en el incidente de desacato:</w:t>
      </w:r>
      <w:r w:rsidRPr="00BE09AB">
        <w:rPr>
          <w:rFonts w:ascii="Verdana" w:hAnsi="Verdana"/>
          <w:sz w:val="22"/>
          <w:szCs w:val="22"/>
        </w:rPr>
        <w:t xml:space="preserve"> el auto del 22 de junio de 2026 vinculó de oficio al Ministro del Interior, al Viceministro y a la Secretaria General como "superiores jerárquicos", sin que mediara actuación previa que les permitiera conocer con antelación suficiente el objeto del reproche ni ejercer una defensa técnica adecuada, y el auto del 30 de junio de 2026 vinculó formalmente al Director (E) de la DACN otorgándole un término perentorio e improrrogable de un solo día hábil para acreditar el cumplimiento de órdenes cuya propia génesis, según se explicó, adolecía del vicio de origen antes descrito. La Corte Constitucional, en la Sentencia C-367 de 2014, providencia expresamente invocada dentro del propio incidente de desacato por el Juzgado accionado, fijó los términos y etapas que debe observar el trámite incidental precisamente para salvaguardar el derecho de defensa del incidentado; sin embargo, esas garantías se tornan ilusorias cuando, como ocurre en este caso, el vicio de fondo no reside en la duración o en las formalidades del incidente, sino en la validez misma del título judicial —las órdenes Quinta a Octava de la Sentencia No. 012— cuyo cumplimiento se exige coactivamente.</w:t>
      </w:r>
    </w:p>
    <w:p w14:paraId="3949144B"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 xml:space="preserve">4.3.3. </w:t>
      </w:r>
      <w:r w:rsidRPr="00BE09AB">
        <w:rPr>
          <w:rStyle w:val="nfasis"/>
          <w:rFonts w:ascii="Verdana" w:eastAsiaTheme="majorEastAsia" w:hAnsi="Verdana"/>
          <w:b/>
          <w:bCs/>
          <w:sz w:val="22"/>
          <w:szCs w:val="22"/>
        </w:rPr>
        <w:t>Contradicción interna de las propias actuaciones judiciales accionadas, reveladora de arbitrariedad.</w:t>
      </w:r>
      <w:r w:rsidRPr="00BE09AB">
        <w:rPr>
          <w:rFonts w:ascii="Verdana" w:hAnsi="Verdana"/>
          <w:sz w:val="22"/>
          <w:szCs w:val="22"/>
        </w:rPr>
        <w:t xml:space="preserve"> Resulta especialmente significativo que, en el auto interlocutorio del 30 de junio de 2026, el propio Juzgado Promiscuo Municipal de Condoto haya afirmado, en el cuadro de antecedentes que le sirvió de motivación, que </w:t>
      </w:r>
      <w:r w:rsidRPr="00BE09AB">
        <w:rPr>
          <w:rStyle w:val="nfasis"/>
          <w:rFonts w:ascii="Verdana" w:eastAsiaTheme="majorEastAsia" w:hAnsi="Verdana"/>
          <w:sz w:val="22"/>
          <w:szCs w:val="22"/>
        </w:rPr>
        <w:t xml:space="preserve">"en esta etapa el Ministerio del Interior fue debidamente vinculado al trámite constitucional y conoció las órdenes </w:t>
      </w:r>
      <w:r w:rsidRPr="00BE09AB">
        <w:rPr>
          <w:rStyle w:val="nfasis"/>
          <w:rFonts w:ascii="Verdana" w:eastAsiaTheme="majorEastAsia" w:hAnsi="Verdana"/>
          <w:sz w:val="22"/>
          <w:szCs w:val="22"/>
        </w:rPr>
        <w:lastRenderedPageBreak/>
        <w:t>impartidas"</w:t>
      </w:r>
      <w:r w:rsidRPr="00BE09AB">
        <w:rPr>
          <w:rFonts w:ascii="Verdana" w:hAnsi="Verdana"/>
          <w:sz w:val="22"/>
          <w:szCs w:val="22"/>
        </w:rPr>
        <w:t xml:space="preserve"> al referirse a la Sentencia No. 22 de primera instancia. Esa afirmación contradice de manera frontal y verificable el texto mismo de la parte resolutiva de la Sentencia No. 22, cuyo numeral TERCERO desvinculó expresamente al Ministerio del Interior por no haberse acreditado su participación en los hechos. Esta discordancia entre lo que el propio expediente demuestra documentalmente y lo que la autoridad judicial afirma como fundamento de sus decisiones sancionatorias posteriores no es un simple lapsus, sino la evidencia de que la premisa fáctica sobre la cual se ha edificado todo el reproche disciplinario y penal contra los funcionarios del Ministerio —a saber, que este habría sido parte legítima y debidamente oída desde el inicio— es objetivamente falsa, lo que refuerza la configuración del defecto fáctico y del defecto orgánico ya alegados.</w:t>
      </w:r>
    </w:p>
    <w:p w14:paraId="439C5863" w14:textId="77777777" w:rsidR="00BE09AB" w:rsidRDefault="00BE09AB" w:rsidP="00BE09AB">
      <w:pPr>
        <w:pStyle w:val="font-claude-response-body"/>
        <w:jc w:val="both"/>
        <w:rPr>
          <w:rFonts w:ascii="Verdana" w:hAnsi="Verdana"/>
          <w:sz w:val="22"/>
          <w:szCs w:val="22"/>
        </w:rPr>
      </w:pPr>
      <w:r w:rsidRPr="00BE09AB">
        <w:rPr>
          <w:rFonts w:ascii="Verdana" w:hAnsi="Verdana"/>
          <w:b/>
          <w:bCs/>
          <w:sz w:val="22"/>
          <w:szCs w:val="22"/>
        </w:rPr>
        <w:t xml:space="preserve">4.3.4. </w:t>
      </w:r>
      <w:r w:rsidRPr="00BE09AB">
        <w:rPr>
          <w:rStyle w:val="nfasis"/>
          <w:rFonts w:ascii="Verdana" w:eastAsiaTheme="majorEastAsia" w:hAnsi="Verdana"/>
          <w:b/>
          <w:bCs/>
          <w:sz w:val="22"/>
          <w:szCs w:val="22"/>
        </w:rPr>
        <w:t>Violación directa de la Constitución.</w:t>
      </w:r>
      <w:r w:rsidRPr="00BE09AB">
        <w:rPr>
          <w:rFonts w:ascii="Verdana" w:hAnsi="Verdana"/>
          <w:sz w:val="22"/>
          <w:szCs w:val="22"/>
        </w:rPr>
        <w:t xml:space="preserve"> Las actuaciones descritas desconocen de manera directa el artículo 29 Superior, en cuanto garantiza a toda persona, natural o jurídica, pública o privada, el derecho a ser oída y a controvertir las decisiones que la afectan antes de que estas le sean impuestas, y el artículo 6° de la Constitución Política, que sujeta la responsabilidad de los servidores públicos a la extralimitación en el ejercicio de sus funciones, principio que exige, correlativamente, que las cargas y sanciones que se les impongan tengan como presupuesto la previa integración regular del proceso en el que se les vincula.</w:t>
      </w:r>
    </w:p>
    <w:p w14:paraId="616464EF" w14:textId="77777777" w:rsidR="00BE09AB" w:rsidRPr="00BE09AB" w:rsidRDefault="00BE09AB" w:rsidP="00BE09AB">
      <w:pPr>
        <w:pStyle w:val="font-claude-response-body"/>
        <w:jc w:val="both"/>
        <w:rPr>
          <w:rFonts w:ascii="Verdana" w:hAnsi="Verdana"/>
          <w:sz w:val="22"/>
          <w:szCs w:val="22"/>
        </w:rPr>
      </w:pPr>
    </w:p>
    <w:p w14:paraId="5FF7B151"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4.4.</w:t>
      </w:r>
      <w:r w:rsidRPr="00BE09AB">
        <w:rPr>
          <w:rFonts w:ascii="Verdana" w:hAnsi="Verdana"/>
          <w:sz w:val="22"/>
          <w:szCs w:val="22"/>
        </w:rPr>
        <w:t xml:space="preserve"> </w:t>
      </w:r>
      <w:r w:rsidRPr="00BE09AB">
        <w:rPr>
          <w:rStyle w:val="Textoennegrita"/>
          <w:rFonts w:ascii="Verdana" w:eastAsiaTheme="majorEastAsia" w:hAnsi="Verdana"/>
          <w:sz w:val="22"/>
          <w:szCs w:val="22"/>
        </w:rPr>
        <w:t>Análisis de los requisitos generales de procedibilidad.</w:t>
      </w:r>
    </w:p>
    <w:p w14:paraId="3C5A6B15"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4.4.1.</w:t>
      </w:r>
      <w:r w:rsidRPr="00BE09AB">
        <w:rPr>
          <w:rFonts w:ascii="Verdana" w:hAnsi="Verdana"/>
          <w:sz w:val="22"/>
          <w:szCs w:val="22"/>
        </w:rPr>
        <w:t xml:space="preserve"> </w:t>
      </w:r>
      <w:r w:rsidRPr="00BE09AB">
        <w:rPr>
          <w:rStyle w:val="nfasis"/>
          <w:rFonts w:ascii="Verdana" w:eastAsiaTheme="majorEastAsia" w:hAnsi="Verdana"/>
          <w:b/>
          <w:bCs/>
          <w:sz w:val="22"/>
          <w:szCs w:val="22"/>
        </w:rPr>
        <w:t>Relevancia constitucional</w:t>
      </w:r>
      <w:r w:rsidRPr="00BE09AB">
        <w:rPr>
          <w:rStyle w:val="nfasis"/>
          <w:rFonts w:ascii="Verdana" w:eastAsiaTheme="majorEastAsia" w:hAnsi="Verdana"/>
          <w:sz w:val="22"/>
          <w:szCs w:val="22"/>
        </w:rPr>
        <w:t>:</w:t>
      </w:r>
      <w:r w:rsidRPr="00BE09AB">
        <w:rPr>
          <w:rFonts w:ascii="Verdana" w:hAnsi="Verdana"/>
          <w:sz w:val="22"/>
          <w:szCs w:val="22"/>
        </w:rPr>
        <w:t xml:space="preserve"> el asunto compromete directamente el núcleo esencial del derecho al debido proceso de una entidad estatal y, por conexidad, la libertad personal de dos servidores públicos objeto de orden de captura, así como el ejercicio regular de las competencias constitucionales y legales asignadas a la Dirección de Asuntos para Comunidades Negras, Afrocolombianas, Raizales y Palenqueras.</w:t>
      </w:r>
    </w:p>
    <w:p w14:paraId="73CAEBBA"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 xml:space="preserve">4.4.2. </w:t>
      </w:r>
      <w:r w:rsidRPr="00BE09AB">
        <w:rPr>
          <w:rStyle w:val="nfasis"/>
          <w:rFonts w:ascii="Verdana" w:eastAsiaTheme="majorEastAsia" w:hAnsi="Verdana"/>
          <w:b/>
          <w:bCs/>
          <w:sz w:val="22"/>
          <w:szCs w:val="22"/>
        </w:rPr>
        <w:t>Subsidiariedad:</w:t>
      </w:r>
      <w:r w:rsidRPr="00BE09AB">
        <w:rPr>
          <w:rFonts w:ascii="Verdana" w:hAnsi="Verdana"/>
          <w:sz w:val="22"/>
          <w:szCs w:val="22"/>
        </w:rPr>
        <w:t xml:space="preserve"> el Ministerio del Interior agotó los medios de defensa disponibles ante los propios jueces accionados: solicitó la modulación de las órdenes el 12 de junio de 2026, solicitud que fue rechazada el mismo día; solicitó aclaración sobre el término concedido el 3 de julio de 2026; y presentó informe de cumplimiento y solicitud de revocatoria de la sanción dentro del grado jurisdiccional de consulta que actualmente cursa ante el Juzgado Civil del Circuito de Istmina. Sin embargo, dicho grado de consulta, por su propia naturaleza, se circunscribe a la revisión de la legalidad de la sanción impuesta </w:t>
      </w:r>
      <w:r w:rsidRPr="00BE09AB">
        <w:rPr>
          <w:rFonts w:ascii="Verdana" w:hAnsi="Verdana"/>
          <w:sz w:val="22"/>
          <w:szCs w:val="22"/>
        </w:rPr>
        <w:lastRenderedPageBreak/>
        <w:t>en el incidente de desacato, y no constituye un mecanismo idóneo para examinar el vicio de fondo que aquí se denuncia —la indebida vinculación del Ministerio del Interior a las órdenes sustantivas de la Sentencia No. 012—, en tanto ese juez de consulta carece de competencia para reabrir o modificar el proceso de tutela de fondo, tramitado y decidido por un juez distinto. Por tal razón, la consulta pendiente no excluye la procedencia de la presente acción, sino que, antes bien, evidencia la persistencia actual de la afectación mientras se resuelve.</w:t>
      </w:r>
    </w:p>
    <w:p w14:paraId="4AC23C60"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 xml:space="preserve">4.4.3. </w:t>
      </w:r>
      <w:r w:rsidRPr="00BE09AB">
        <w:rPr>
          <w:rStyle w:val="nfasis"/>
          <w:rFonts w:ascii="Verdana" w:eastAsiaTheme="majorEastAsia" w:hAnsi="Verdana"/>
          <w:b/>
          <w:bCs/>
          <w:sz w:val="22"/>
          <w:szCs w:val="22"/>
        </w:rPr>
        <w:t>Inmediatez:</w:t>
      </w:r>
      <w:r w:rsidRPr="00BE09AB">
        <w:rPr>
          <w:rFonts w:ascii="Verdana" w:hAnsi="Verdana"/>
          <w:sz w:val="22"/>
          <w:szCs w:val="22"/>
        </w:rPr>
        <w:t xml:space="preserve"> la presente acción se interpone dentro de un término razonable, contado a partir de la notificación del auto que declaró el desacato y de la persistencia de sus efectos sancionatorios, providencia proferida apenas el 7 de julio de 2026.</w:t>
      </w:r>
    </w:p>
    <w:p w14:paraId="189307D1"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 xml:space="preserve">4.4.4. </w:t>
      </w:r>
      <w:r w:rsidRPr="00BE09AB">
        <w:rPr>
          <w:rStyle w:val="nfasis"/>
          <w:rFonts w:ascii="Verdana" w:eastAsiaTheme="majorEastAsia" w:hAnsi="Verdana"/>
          <w:b/>
          <w:bCs/>
          <w:sz w:val="22"/>
          <w:szCs w:val="22"/>
        </w:rPr>
        <w:t>Efecto decisivo de la irregularidad</w:t>
      </w:r>
      <w:r w:rsidRPr="00BE09AB">
        <w:rPr>
          <w:rStyle w:val="nfasis"/>
          <w:rFonts w:ascii="Verdana" w:eastAsiaTheme="majorEastAsia" w:hAnsi="Verdana"/>
          <w:sz w:val="22"/>
          <w:szCs w:val="22"/>
        </w:rPr>
        <w:t>:</w:t>
      </w:r>
      <w:r w:rsidRPr="00BE09AB">
        <w:rPr>
          <w:rFonts w:ascii="Verdana" w:hAnsi="Verdana"/>
          <w:sz w:val="22"/>
          <w:szCs w:val="22"/>
        </w:rPr>
        <w:t xml:space="preserve"> de haberse integrado en debida forma el contradictorio desde la propia impugnación de la Sentencia No. 22, el Ministerio del Interior habría podido exponer, como en efecto lo hizo tan pronto tuvo oportunidad de ser oído, que carecía de competencia para intervenir en la controversia electoral interna de COCOMAN mientras esta permaneciera sub judice ante las propias autoridades tradicionales del Consejo Comunitario, y que su actuación administrativa debía sujetarse a las reglas de competencia reglada de los Decretos 1745 de 1995, 1640 de 2020 y 1066 de 2015; de haber sido oído oportunamente, es razonable inferir que el sentido y el alcance de las órdenes impuestas habría sido sustancialmente distinto.</w:t>
      </w:r>
    </w:p>
    <w:p w14:paraId="5B9FA7B4" w14:textId="77777777" w:rsidR="00BE09AB" w:rsidRPr="00BE09AB" w:rsidRDefault="00BE09AB" w:rsidP="00BE09AB">
      <w:pPr>
        <w:pStyle w:val="font-claude-response-body"/>
        <w:jc w:val="both"/>
        <w:rPr>
          <w:rFonts w:ascii="Verdana" w:hAnsi="Verdana"/>
          <w:sz w:val="22"/>
          <w:szCs w:val="22"/>
        </w:rPr>
      </w:pPr>
      <w:r w:rsidRPr="00BE09AB">
        <w:rPr>
          <w:rFonts w:ascii="Verdana" w:hAnsi="Verdana"/>
          <w:b/>
          <w:bCs/>
          <w:sz w:val="22"/>
          <w:szCs w:val="22"/>
        </w:rPr>
        <w:t xml:space="preserve">4.4.5. </w:t>
      </w:r>
      <w:r w:rsidRPr="00BE09AB">
        <w:rPr>
          <w:rStyle w:val="nfasis"/>
          <w:rFonts w:ascii="Verdana" w:eastAsiaTheme="majorEastAsia" w:hAnsi="Verdana"/>
          <w:b/>
          <w:bCs/>
          <w:sz w:val="22"/>
          <w:szCs w:val="22"/>
        </w:rPr>
        <w:t>Identificación razonable de los hechos y los derechos:</w:t>
      </w:r>
      <w:r w:rsidRPr="00BE09AB">
        <w:rPr>
          <w:rFonts w:ascii="Verdana" w:hAnsi="Verdana"/>
          <w:sz w:val="22"/>
          <w:szCs w:val="22"/>
        </w:rPr>
        <w:t xml:space="preserve"> los hechos y los derechos vulnerados han sido identificados con precisión en el acápite III de este escrito, con soporte documental específico en cada una de las actuaciones judiciales y administrativas referidas.</w:t>
      </w:r>
    </w:p>
    <w:p w14:paraId="16F188DF" w14:textId="77777777" w:rsidR="00BE09AB" w:rsidRDefault="00BE09AB" w:rsidP="00BE09AB">
      <w:pPr>
        <w:pStyle w:val="font-claude-response-body"/>
        <w:jc w:val="both"/>
        <w:rPr>
          <w:rFonts w:ascii="Verdana" w:hAnsi="Verdana"/>
          <w:sz w:val="22"/>
          <w:szCs w:val="22"/>
        </w:rPr>
      </w:pPr>
      <w:r w:rsidRPr="00BE09AB">
        <w:rPr>
          <w:rFonts w:ascii="Verdana" w:hAnsi="Verdana"/>
          <w:b/>
          <w:bCs/>
          <w:sz w:val="22"/>
          <w:szCs w:val="22"/>
        </w:rPr>
        <w:t xml:space="preserve">4.4.6. </w:t>
      </w:r>
      <w:r w:rsidRPr="00BE09AB">
        <w:rPr>
          <w:rStyle w:val="nfasis"/>
          <w:rFonts w:ascii="Verdana" w:eastAsiaTheme="majorEastAsia" w:hAnsi="Verdana"/>
          <w:b/>
          <w:bCs/>
          <w:sz w:val="22"/>
          <w:szCs w:val="22"/>
        </w:rPr>
        <w:t>No se trata de una tutela contra tutela ordinaria:</w:t>
      </w:r>
      <w:r w:rsidRPr="00BE09AB">
        <w:rPr>
          <w:rFonts w:ascii="Verdana" w:hAnsi="Verdana"/>
          <w:sz w:val="22"/>
          <w:szCs w:val="22"/>
        </w:rPr>
        <w:t xml:space="preserve"> como se explicó en el numeral 4.2 de este acápite, la presente acción se enmarca en la excepción reconocida por la jurisprudencia constitucional para los casos en que un tercero, ajeno a la relación procesal original, resulta afectado por las órdenes de un fallo de tutela sin haber tenido oportunidad de ser oído.</w:t>
      </w:r>
    </w:p>
    <w:p w14:paraId="1F509281" w14:textId="77777777" w:rsidR="00BE09AB" w:rsidRPr="00BE09AB" w:rsidRDefault="00BE09AB" w:rsidP="00BE09AB">
      <w:pPr>
        <w:pStyle w:val="font-claude-response-body"/>
        <w:jc w:val="both"/>
        <w:rPr>
          <w:rFonts w:ascii="Verdana" w:hAnsi="Verdana"/>
          <w:sz w:val="22"/>
          <w:szCs w:val="22"/>
        </w:rPr>
      </w:pPr>
    </w:p>
    <w:p w14:paraId="6A88763B" w14:textId="77777777" w:rsid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t>V. PRETENSIONES</w:t>
      </w:r>
    </w:p>
    <w:p w14:paraId="1F542EB6" w14:textId="77777777" w:rsidR="00BE09AB" w:rsidRPr="00BE09AB" w:rsidRDefault="00BE09AB" w:rsidP="00BE09AB">
      <w:pPr>
        <w:rPr>
          <w:lang w:eastAsia="es-CO"/>
        </w:rPr>
      </w:pPr>
    </w:p>
    <w:p w14:paraId="062544C8" w14:textId="77777777" w:rsidR="00E36F92" w:rsidRDefault="00E36F92" w:rsidP="00BE09AB">
      <w:pPr>
        <w:spacing w:after="160" w:line="300" w:lineRule="auto"/>
        <w:jc w:val="both"/>
        <w:rPr>
          <w:rFonts w:ascii="Verdana" w:eastAsia="Arial" w:hAnsi="Verdana" w:cs="Arial"/>
          <w:color w:val="000000" w:themeColor="text1"/>
          <w:sz w:val="22"/>
          <w:szCs w:val="22"/>
        </w:rPr>
      </w:pPr>
      <w:r w:rsidRPr="00BE09AB">
        <w:rPr>
          <w:rFonts w:ascii="Verdana" w:eastAsia="Arial" w:hAnsi="Verdana" w:cs="Arial"/>
          <w:b/>
          <w:color w:val="000000" w:themeColor="text1"/>
          <w:sz w:val="22"/>
          <w:szCs w:val="22"/>
        </w:rPr>
        <w:t>PRIMERA: TUTELAR</w:t>
      </w:r>
      <w:r w:rsidRPr="00BE09AB">
        <w:rPr>
          <w:rFonts w:ascii="Verdana" w:eastAsia="Arial" w:hAnsi="Verdana" w:cs="Arial"/>
          <w:color w:val="000000" w:themeColor="text1"/>
          <w:sz w:val="22"/>
          <w:szCs w:val="22"/>
        </w:rPr>
        <w:t xml:space="preserve"> el derecho fundamental al debido proceso del Ministerio del Interior.</w:t>
      </w:r>
    </w:p>
    <w:p w14:paraId="24D408C3" w14:textId="77777777" w:rsidR="00BE09AB" w:rsidRPr="00BE09AB" w:rsidRDefault="00BE09AB" w:rsidP="00BE09AB">
      <w:pPr>
        <w:spacing w:after="160" w:line="300" w:lineRule="auto"/>
        <w:jc w:val="both"/>
        <w:rPr>
          <w:rFonts w:ascii="Verdana" w:eastAsia="Arial" w:hAnsi="Verdana" w:cs="Arial"/>
          <w:color w:val="000000" w:themeColor="text1"/>
          <w:sz w:val="22"/>
          <w:szCs w:val="22"/>
        </w:rPr>
      </w:pPr>
    </w:p>
    <w:p w14:paraId="1D35ABEB" w14:textId="01110CD0" w:rsidR="00E36F92" w:rsidRPr="00BE09AB" w:rsidRDefault="00E36F92" w:rsidP="00BE09AB">
      <w:pPr>
        <w:spacing w:after="160" w:line="300" w:lineRule="auto"/>
        <w:jc w:val="both"/>
        <w:rPr>
          <w:rFonts w:ascii="Verdana" w:hAnsi="Verdana"/>
          <w:color w:val="000000" w:themeColor="text1"/>
          <w:sz w:val="22"/>
          <w:szCs w:val="22"/>
        </w:rPr>
      </w:pPr>
      <w:r w:rsidRPr="00BE09AB">
        <w:rPr>
          <w:rFonts w:ascii="Verdana" w:eastAsia="Arial" w:hAnsi="Verdana" w:cs="Arial"/>
          <w:b/>
          <w:color w:val="000000" w:themeColor="text1"/>
          <w:sz w:val="22"/>
          <w:szCs w:val="22"/>
        </w:rPr>
        <w:t>SEGUNDA:</w:t>
      </w:r>
      <w:r w:rsidRPr="00BE09AB">
        <w:rPr>
          <w:rFonts w:ascii="Verdana" w:eastAsia="Arial" w:hAnsi="Verdana" w:cs="Arial"/>
          <w:color w:val="000000" w:themeColor="text1"/>
          <w:sz w:val="22"/>
          <w:szCs w:val="22"/>
        </w:rPr>
        <w:t xml:space="preserve"> DEJAR SIN EFECTOS, respecto del Ministerio del Interior, el numeral Tercero de la Sentencia No. 22 del 28 de abril de 2026 proferida por el Juzgado Promiscuo Municipal de Condoto, en cuanto lo desvinculó del proceso sin haberlo oído previamente, así como los numerales Quinto, Sexto, Séptimo y Octavo de la Sentencia No. 012 del 29 de mayo de 2026 proferida por el Juzgado Primero Penal del Circuito de Istmina, en cuanto le impartió órdenes directas sin haberlo vinculado al contradictorio.</w:t>
      </w:r>
    </w:p>
    <w:p w14:paraId="2F110906" w14:textId="77777777" w:rsidR="00E36F92" w:rsidRPr="00BE09AB" w:rsidRDefault="00E36F92" w:rsidP="00BE09AB">
      <w:pPr>
        <w:spacing w:after="160" w:line="300" w:lineRule="auto"/>
        <w:jc w:val="both"/>
        <w:rPr>
          <w:rFonts w:ascii="Verdana" w:hAnsi="Verdana"/>
          <w:color w:val="000000" w:themeColor="text1"/>
          <w:sz w:val="22"/>
          <w:szCs w:val="22"/>
        </w:rPr>
      </w:pPr>
      <w:r w:rsidRPr="00BE09AB">
        <w:rPr>
          <w:rFonts w:ascii="Verdana" w:eastAsia="Arial" w:hAnsi="Verdana" w:cs="Arial"/>
          <w:b/>
          <w:color w:val="000000" w:themeColor="text1"/>
          <w:sz w:val="22"/>
          <w:szCs w:val="22"/>
        </w:rPr>
        <w:t>TERCERA: DECLARAR</w:t>
      </w:r>
      <w:r w:rsidRPr="00BE09AB">
        <w:rPr>
          <w:rFonts w:ascii="Verdana" w:eastAsia="Arial" w:hAnsi="Verdana" w:cs="Arial"/>
          <w:color w:val="000000" w:themeColor="text1"/>
          <w:sz w:val="22"/>
          <w:szCs w:val="22"/>
        </w:rPr>
        <w:t xml:space="preserve"> que el numeral SEGUNDO de la Sentencia No. 22 del 28 de abril de 2026 y los numerales SÉPTIMO y OCTAVO de la Sentencia No. 012 del 29 de mayo de 2026 incurrieron en defecto orgánico, por desconocer la competencia legal, exclusiva y excluyente que el parágrafo 2° del artículo 9° del Decreto 1745 de 1995 y el parágrafo 1° del artículo 15 del Decreto 3770 de 2008 asignan a la Dirección de Asuntos para Comunidades Negras, Afrocolombianas, Raizales y Palenqueras para resolver en segunda instancia las impugnaciones a los actos de elección de los consejos comunitarios y para expedir la resolución de inscripción correspondiente; y, en consecuencia, DEJAR SIN EFECTOS dichos numerales, así como el requerimiento de cumplimiento de los mismos exigido al Ministerio del Interior mediante el auto del 12 de junio de 2026.</w:t>
      </w:r>
    </w:p>
    <w:p w14:paraId="7958BBF8" w14:textId="77777777" w:rsidR="00E36F92" w:rsidRPr="00BE09AB" w:rsidRDefault="00E36F92" w:rsidP="00BE09AB">
      <w:pPr>
        <w:spacing w:after="160" w:line="300" w:lineRule="auto"/>
        <w:jc w:val="both"/>
        <w:rPr>
          <w:rFonts w:ascii="Verdana" w:eastAsia="Arial" w:hAnsi="Verdana" w:cs="Arial"/>
          <w:color w:val="000000" w:themeColor="text1"/>
          <w:sz w:val="22"/>
          <w:szCs w:val="22"/>
        </w:rPr>
      </w:pPr>
      <w:r w:rsidRPr="00BE09AB">
        <w:rPr>
          <w:rFonts w:ascii="Verdana" w:eastAsia="Arial" w:hAnsi="Verdana" w:cs="Arial"/>
          <w:b/>
          <w:color w:val="000000" w:themeColor="text1"/>
          <w:sz w:val="22"/>
          <w:szCs w:val="22"/>
        </w:rPr>
        <w:t>CUARTA:</w:t>
      </w:r>
      <w:r w:rsidRPr="00BE09AB">
        <w:rPr>
          <w:rFonts w:ascii="Verdana" w:eastAsia="Arial" w:hAnsi="Verdana" w:cs="Arial"/>
          <w:color w:val="000000" w:themeColor="text1"/>
          <w:sz w:val="22"/>
          <w:szCs w:val="22"/>
        </w:rPr>
        <w:t xml:space="preserve"> DEJAR SIN EFECTOS el auto del 12 de junio de 2026, en cuanto abrió incidente de desacato en lo atinente al Ministerio del Interior, y el auto del 22 de junio de 2026, en cuanto vinculó y requirió al Ministro del Interior, al Viceministro para el Diálogo Social, la Igualdad y los Derechos Humanos y a la Secretaria General del Ministerio del Interior, proferidos ambos por el Juzgado Promiscuo Municipal de Condoto dentro del expediente No. 27-205-40-89-001-2026-00062-00.</w:t>
      </w:r>
    </w:p>
    <w:p w14:paraId="375AF075" w14:textId="1C0EA83C" w:rsidR="00E36F92" w:rsidRPr="00BE09AB" w:rsidRDefault="00E36F92" w:rsidP="00BE09AB">
      <w:pPr>
        <w:spacing w:after="160" w:line="300" w:lineRule="auto"/>
        <w:jc w:val="both"/>
        <w:rPr>
          <w:rFonts w:ascii="Verdana" w:hAnsi="Verdana"/>
          <w:color w:val="000000" w:themeColor="text1"/>
          <w:sz w:val="22"/>
          <w:szCs w:val="22"/>
        </w:rPr>
      </w:pPr>
      <w:r w:rsidRPr="00BE09AB">
        <w:rPr>
          <w:rFonts w:ascii="Verdana" w:eastAsia="Arial" w:hAnsi="Verdana" w:cs="Arial"/>
          <w:b/>
          <w:color w:val="000000" w:themeColor="text1"/>
          <w:sz w:val="22"/>
          <w:szCs w:val="22"/>
        </w:rPr>
        <w:t>QUINTA:</w:t>
      </w:r>
      <w:r w:rsidRPr="00BE09AB">
        <w:rPr>
          <w:rFonts w:ascii="Verdana" w:eastAsia="Arial" w:hAnsi="Verdana" w:cs="Arial"/>
          <w:color w:val="000000" w:themeColor="text1"/>
          <w:sz w:val="22"/>
          <w:szCs w:val="22"/>
        </w:rPr>
        <w:t xml:space="preserve"> ORDENAR al Juzgado Promiscuo Municipal de Condoto que, dentro del término que se estime razonable, REHAGA el trámite en lo que concierne al Ministerio del Interior, garantizando su vinculación efectiva, el traslado previo de las pretensiones y providencias que lo afecten, y la oportunidad real de ejercer sus derechos de defensa y contradicción antes de imponerle obligación </w:t>
      </w:r>
      <w:r w:rsidRPr="00BE09AB">
        <w:rPr>
          <w:rFonts w:ascii="Verdana" w:eastAsia="Arial" w:hAnsi="Verdana" w:cs="Arial"/>
          <w:color w:val="000000" w:themeColor="text1"/>
          <w:sz w:val="22"/>
          <w:szCs w:val="22"/>
        </w:rPr>
        <w:lastRenderedPageBreak/>
        <w:t>o sanción alguna, y ORDENAR remitir o dar continuidad, según corresponda, al trámite administrativo de impugnación y registro ante la Dirección de Asuntos para Comunidades Negras, Afrocolombianas, Raizales y Palenqueras, en tanto autoridad competente conforme al Decreto 1745 de 1995 y al Decreto 3770 de 2008.</w:t>
      </w:r>
    </w:p>
    <w:p w14:paraId="70A4A687" w14:textId="77957370" w:rsidR="00BE09AB" w:rsidRPr="00BE09AB" w:rsidRDefault="00E36F92" w:rsidP="00BE09AB">
      <w:pPr>
        <w:spacing w:after="160" w:line="300" w:lineRule="auto"/>
        <w:jc w:val="both"/>
        <w:rPr>
          <w:rFonts w:ascii="Verdana" w:eastAsia="Arial" w:hAnsi="Verdana" w:cs="Arial"/>
          <w:color w:val="000000" w:themeColor="text1"/>
          <w:sz w:val="22"/>
          <w:szCs w:val="22"/>
        </w:rPr>
      </w:pPr>
      <w:r w:rsidRPr="00E36F92">
        <w:rPr>
          <w:rFonts w:ascii="Verdana" w:eastAsia="Arial" w:hAnsi="Verdana" w:cs="Arial"/>
          <w:b/>
          <w:color w:val="000000" w:themeColor="text1"/>
          <w:sz w:val="22"/>
          <w:szCs w:val="22"/>
        </w:rPr>
        <w:t>SEXTA:</w:t>
      </w:r>
      <w:r w:rsidRPr="00E36F92">
        <w:rPr>
          <w:rFonts w:ascii="Verdana" w:eastAsia="Arial" w:hAnsi="Verdana" w:cs="Arial"/>
          <w:color w:val="000000" w:themeColor="text1"/>
          <w:sz w:val="22"/>
          <w:szCs w:val="22"/>
        </w:rPr>
        <w:t xml:space="preserve"> En consecuencia, ORDENAR la suspensión de cualquier medida de apremio, sanción disciplinaria o penal que se pretenda derivar en contra del Ministerio del Interior o de sus funcionarios con fundamento en las providencias cuestionadas, hasta tanto se garantice la debida integración del contradictorio y se resuelva conforme a la competencia legal de la DACN.</w:t>
      </w:r>
    </w:p>
    <w:p w14:paraId="1EEA66CD" w14:textId="65067AAE" w:rsidR="00E36F92" w:rsidRP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t>VI. SOLICITUD DE MEDIDA PROVISIONAL</w:t>
      </w:r>
    </w:p>
    <w:p w14:paraId="449D59B0" w14:textId="77777777" w:rsidR="00E36F92" w:rsidRPr="00E36F92" w:rsidRDefault="00E36F92" w:rsidP="00E36F92">
      <w:pPr>
        <w:rPr>
          <w:rFonts w:ascii="Verdana" w:hAnsi="Verdana"/>
          <w:sz w:val="22"/>
          <w:szCs w:val="22"/>
          <w:lang w:eastAsia="es-CO"/>
        </w:rPr>
      </w:pPr>
    </w:p>
    <w:p w14:paraId="1EA53961" w14:textId="11DA9E9C" w:rsidR="00E2508A" w:rsidRDefault="00E2508A" w:rsidP="00E2508A">
      <w:pPr>
        <w:pStyle w:val="Ttulo1"/>
        <w:jc w:val="both"/>
        <w:rPr>
          <w:rFonts w:ascii="Verdana" w:eastAsia="Arial" w:hAnsi="Verdana" w:cs="Arial"/>
          <w:color w:val="000000" w:themeColor="text1"/>
          <w:sz w:val="22"/>
          <w:szCs w:val="22"/>
          <w:lang w:eastAsia="es-ES_tradnl"/>
        </w:rPr>
      </w:pPr>
      <w:r w:rsidRPr="00E2508A">
        <w:rPr>
          <w:rFonts w:ascii="Verdana" w:eastAsia="Arial" w:hAnsi="Verdana" w:cs="Arial"/>
          <w:color w:val="000000" w:themeColor="text1"/>
          <w:sz w:val="22"/>
          <w:szCs w:val="22"/>
          <w:lang w:eastAsia="es-ES_tradnl"/>
        </w:rPr>
        <w:t xml:space="preserve">Con fundamento en el artículo 7° del Decreto 2591 de 1991, se solicita respetuosamente decretar como medida provisional la SUSPENSIÓN de los efectos de la orden de captura librada contra los doctores Antonio José Ballestas </w:t>
      </w:r>
      <w:proofErr w:type="spellStart"/>
      <w:r w:rsidRPr="00E2508A">
        <w:rPr>
          <w:rFonts w:ascii="Verdana" w:eastAsia="Arial" w:hAnsi="Verdana" w:cs="Arial"/>
          <w:color w:val="000000" w:themeColor="text1"/>
          <w:sz w:val="22"/>
          <w:szCs w:val="22"/>
          <w:lang w:eastAsia="es-ES_tradnl"/>
        </w:rPr>
        <w:t>Ballestas</w:t>
      </w:r>
      <w:proofErr w:type="spellEnd"/>
      <w:r w:rsidRPr="00E2508A">
        <w:rPr>
          <w:rFonts w:ascii="Verdana" w:eastAsia="Arial" w:hAnsi="Verdana" w:cs="Arial"/>
          <w:color w:val="000000" w:themeColor="text1"/>
          <w:sz w:val="22"/>
          <w:szCs w:val="22"/>
          <w:lang w:eastAsia="es-ES_tradnl"/>
        </w:rPr>
        <w:t xml:space="preserve"> y Héctor Gabriel Rondón Olave, así como de la compulsa de copias penales y disciplinarias ordenada en el auto del 7 de julio de 2026 del Juzgado Promiscuo Municipal de Condoto, mientras se decide de fondo la presente acción de tutela, dado que la ejecución de dichas medidas antes de resolverse esta acción produciría un perjuicio irremediable, de imposible reparación posterior, sobre la libertad personal y la carrera profesional de los funcionarios afectados</w:t>
      </w:r>
      <w:r>
        <w:rPr>
          <w:rFonts w:ascii="Verdana" w:eastAsia="Arial" w:hAnsi="Verdana" w:cs="Arial"/>
          <w:color w:val="000000" w:themeColor="text1"/>
          <w:sz w:val="22"/>
          <w:szCs w:val="22"/>
          <w:lang w:eastAsia="es-ES_tradnl"/>
        </w:rPr>
        <w:t>.</w:t>
      </w:r>
    </w:p>
    <w:p w14:paraId="22B64FD8" w14:textId="77777777" w:rsidR="00E2508A" w:rsidRPr="00E2508A" w:rsidRDefault="00E2508A" w:rsidP="00E2508A">
      <w:pPr>
        <w:rPr>
          <w:rFonts w:eastAsia="Arial"/>
        </w:rPr>
      </w:pPr>
    </w:p>
    <w:p w14:paraId="5C560CBD" w14:textId="2975936B" w:rsidR="00E36F92" w:rsidRP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t>VII. JURAMENTO</w:t>
      </w:r>
    </w:p>
    <w:p w14:paraId="3B542326" w14:textId="25D533E2" w:rsidR="00E36F92" w:rsidRPr="00E36F92" w:rsidRDefault="00E36F92" w:rsidP="00E36F92">
      <w:pPr>
        <w:rPr>
          <w:rFonts w:ascii="Verdana" w:hAnsi="Verdana"/>
          <w:sz w:val="22"/>
          <w:szCs w:val="22"/>
          <w:lang w:eastAsia="es-CO"/>
        </w:rPr>
      </w:pPr>
    </w:p>
    <w:p w14:paraId="7F343F16" w14:textId="77777777" w:rsidR="00E36F92" w:rsidRPr="00E36F92" w:rsidRDefault="00E36F92" w:rsidP="00E36F92">
      <w:pPr>
        <w:rPr>
          <w:rFonts w:ascii="Verdana" w:hAnsi="Verdana"/>
          <w:sz w:val="22"/>
          <w:szCs w:val="22"/>
          <w:lang w:eastAsia="es-CO"/>
        </w:rPr>
      </w:pPr>
    </w:p>
    <w:p w14:paraId="6C33850D" w14:textId="4FADB8E1" w:rsidR="00E36F92" w:rsidRDefault="00E36F92" w:rsidP="00E36F92">
      <w:pPr>
        <w:spacing w:after="200" w:line="300" w:lineRule="auto"/>
        <w:jc w:val="both"/>
        <w:rPr>
          <w:rFonts w:ascii="Verdana" w:eastAsia="Arial" w:hAnsi="Verdana" w:cs="Arial"/>
          <w:color w:val="000000" w:themeColor="text1"/>
          <w:sz w:val="22"/>
          <w:szCs w:val="22"/>
        </w:rPr>
      </w:pPr>
      <w:r w:rsidRPr="00E36F92">
        <w:rPr>
          <w:rFonts w:ascii="Verdana" w:eastAsia="Arial" w:hAnsi="Verdana" w:cs="Arial"/>
          <w:color w:val="000000" w:themeColor="text1"/>
          <w:sz w:val="22"/>
          <w:szCs w:val="22"/>
        </w:rPr>
        <w:t>Manifiesto, bajo la gravedad del juramento, que el Ministerio del Interior no ha presentado otra acción de tutela por los mismos hechos y derechos aquí invocados, ante ninguna otra autoridad judicial.</w:t>
      </w:r>
    </w:p>
    <w:p w14:paraId="79BD7958" w14:textId="77777777" w:rsidR="00E2508A" w:rsidRPr="00E36F92" w:rsidRDefault="00E2508A" w:rsidP="00E36F92">
      <w:pPr>
        <w:spacing w:after="200" w:line="300" w:lineRule="auto"/>
        <w:jc w:val="both"/>
        <w:rPr>
          <w:rFonts w:ascii="Verdana" w:hAnsi="Verdana"/>
          <w:color w:val="000000" w:themeColor="text1"/>
          <w:sz w:val="22"/>
          <w:szCs w:val="22"/>
        </w:rPr>
      </w:pPr>
    </w:p>
    <w:p w14:paraId="0F842E20" w14:textId="569A5EB6" w:rsidR="00E36F92" w:rsidRP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lastRenderedPageBreak/>
        <w:t>VIII. PRUEBAS</w:t>
      </w:r>
    </w:p>
    <w:p w14:paraId="7B305730" w14:textId="77777777" w:rsidR="00E36F92" w:rsidRPr="00E36F92" w:rsidRDefault="00E36F92" w:rsidP="00E36F92">
      <w:pPr>
        <w:rPr>
          <w:rFonts w:ascii="Verdana" w:hAnsi="Verdana"/>
          <w:sz w:val="22"/>
          <w:szCs w:val="22"/>
          <w:lang w:eastAsia="es-CO"/>
        </w:rPr>
      </w:pPr>
    </w:p>
    <w:p w14:paraId="5CEA3267" w14:textId="77777777" w:rsidR="00E36F92" w:rsidRPr="00E36F92" w:rsidRDefault="00E36F92" w:rsidP="00E36F92">
      <w:pPr>
        <w:spacing w:after="200" w:line="300" w:lineRule="auto"/>
        <w:jc w:val="both"/>
        <w:rPr>
          <w:rFonts w:ascii="Verdana" w:hAnsi="Verdana"/>
          <w:color w:val="000000" w:themeColor="text1"/>
          <w:sz w:val="22"/>
          <w:szCs w:val="22"/>
        </w:rPr>
      </w:pPr>
      <w:r w:rsidRPr="00E36F92">
        <w:rPr>
          <w:rFonts w:ascii="Verdana" w:eastAsia="Arial" w:hAnsi="Verdana" w:cs="Arial"/>
          <w:color w:val="000000" w:themeColor="text1"/>
          <w:sz w:val="22"/>
          <w:szCs w:val="22"/>
        </w:rPr>
        <w:t>Solicito respetuosamente tener como pruebas, y en tal sentido se allegan como anexos, los siguientes documentos:</w:t>
      </w:r>
    </w:p>
    <w:p w14:paraId="26E12007" w14:textId="5E540D27" w:rsidR="00E2508A" w:rsidRPr="00E2508A" w:rsidRDefault="00E2508A" w:rsidP="00E2508A">
      <w:pPr>
        <w:pStyle w:val="Prrafodelista"/>
        <w:numPr>
          <w:ilvl w:val="0"/>
          <w:numId w:val="18"/>
        </w:numPr>
        <w:rPr>
          <w:rFonts w:ascii="Verdana" w:hAnsi="Verdana"/>
          <w:sz w:val="22"/>
          <w:szCs w:val="22"/>
          <w:lang w:eastAsia="es-MX"/>
        </w:rPr>
      </w:pPr>
      <w:r w:rsidRPr="00E2508A">
        <w:rPr>
          <w:rFonts w:ascii="Verdana" w:hAnsi="Verdana"/>
          <w:sz w:val="22"/>
          <w:szCs w:val="22"/>
        </w:rPr>
        <w:t xml:space="preserve">Resolución No. RPU0452 del 5 de diciembre de 2025. </w:t>
      </w:r>
    </w:p>
    <w:p w14:paraId="25966EEE" w14:textId="3644996A"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Resolución No. RPU0455-2025 del 6 de diciembre de 2025. </w:t>
      </w:r>
    </w:p>
    <w:p w14:paraId="172A77C1" w14:textId="5254C98A"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Resolución No. RPU0456-2025 del 6 de diciembre de 2025. </w:t>
      </w:r>
    </w:p>
    <w:p w14:paraId="5340F20A" w14:textId="0A24867A"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Directiva Nacional DCN-RP001 del 17 de septiembre de 2025, de la Dirección de Asuntos para Comunidades Negras, Afrocolombianas, Raizales y Palenqueras. </w:t>
      </w:r>
    </w:p>
    <w:p w14:paraId="7D925C0B" w14:textId="2509A2C1"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Comunicación con radicado 2025-2-002204-046263 del 17 de octubre de 2025. </w:t>
      </w:r>
    </w:p>
    <w:p w14:paraId="72E22035" w14:textId="598F01D7"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Comunicación con radicado 2025-2-002204-046265 del 17 de octubre de 2025. </w:t>
      </w:r>
    </w:p>
    <w:p w14:paraId="67FA882A" w14:textId="728A20C1"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Comunicación con radicado 2025-2-002204-053223, de la Dirección de Asuntos para Comunidades Negras. </w:t>
      </w:r>
    </w:p>
    <w:p w14:paraId="1146974A" w14:textId="03232D95"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Resolución No. RPU0481-2025 del 30 de diciembre de 2025. </w:t>
      </w:r>
    </w:p>
    <w:p w14:paraId="5C26B82A" w14:textId="566FECA6"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Sentencia de tutela de primera instancia del Juzgado Octavo Administrativo Oral del Circuito de Quibdó (acción promovida por James López Rivas). </w:t>
      </w:r>
    </w:p>
    <w:p w14:paraId="54740BA2" w14:textId="7889B6F3"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Resolución No. RPU033-2026 del 12 de febrero de 2026. </w:t>
      </w:r>
    </w:p>
    <w:p w14:paraId="02EF20AB" w14:textId="263F5D5A"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Resolución No. RPU051-2026 del 20 de febrero de 2026. </w:t>
      </w:r>
    </w:p>
    <w:p w14:paraId="2AC4F94B" w14:textId="2A7B748D"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Actuaciones del proceso de impugnación de tutela radicado 27001-33-33-008-2026-00006-01. </w:t>
      </w:r>
    </w:p>
    <w:p w14:paraId="619C7C6D" w14:textId="7F65C400"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Resolución No. RPU0153-2026 del 24 de marzo de 2026. </w:t>
      </w:r>
    </w:p>
    <w:p w14:paraId="4B5E4BB2" w14:textId="0343753C"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Comunicación con radicado 2026-2-002204-012090. </w:t>
      </w:r>
    </w:p>
    <w:p w14:paraId="7B8ACD4B" w14:textId="583C875D"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Sentencia de Tutela No. 012 de segunda instancia, del 29 de mayo de 2026, proferida por el Juzgado Primero Penal del Circuito de Istmina. </w:t>
      </w:r>
    </w:p>
    <w:p w14:paraId="16F2AA17" w14:textId="7136B35B"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Auto de apertura del incidente de desacato del 12 de junio de 2026, proferido por el Juzgado Promiscuo Municipal de Condoto. </w:t>
      </w:r>
    </w:p>
    <w:p w14:paraId="7673E0EF" w14:textId="799A9D60"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Auto de apertura a pruebas del 22 de junio de 2026. </w:t>
      </w:r>
    </w:p>
    <w:p w14:paraId="568933F3" w14:textId="3E866748"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Resolución No. RUP0336-2026 del 12 de junio de 2026. </w:t>
      </w:r>
    </w:p>
    <w:p w14:paraId="689AC652" w14:textId="54B5D746"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Auto interlocutorio del 30 de junio de 2026. </w:t>
      </w:r>
    </w:p>
    <w:p w14:paraId="14B717DA" w14:textId="154226F1"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Auto del 7 de julio de 2026, que declaró el desacato e impuso las sanciones referidas. </w:t>
      </w:r>
    </w:p>
    <w:p w14:paraId="4F1AB46D" w14:textId="523BF3C7"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t xml:space="preserve">Informe de cumplimiento y solicitud de revocatoria de sanción presentado el 9 de julio de 2026 por el Ministerio del Interior ante el Juzgado Civil del Circuito de Istmina, con sus anexos (Resolución No. 0939 del 3 de junio de 2026, Decreto No. 714 de 2024, oficios de notificación y Resolución No. RPU0398-2026 del 8 de julio de 2026). </w:t>
      </w:r>
    </w:p>
    <w:p w14:paraId="4E889635" w14:textId="2DED4C8F" w:rsidR="00E2508A" w:rsidRPr="00E2508A" w:rsidRDefault="00E2508A" w:rsidP="00E2508A">
      <w:pPr>
        <w:pStyle w:val="Prrafodelista"/>
        <w:numPr>
          <w:ilvl w:val="0"/>
          <w:numId w:val="18"/>
        </w:numPr>
        <w:rPr>
          <w:rFonts w:ascii="Verdana" w:hAnsi="Verdana"/>
          <w:sz w:val="22"/>
          <w:szCs w:val="22"/>
        </w:rPr>
      </w:pPr>
      <w:r w:rsidRPr="00E2508A">
        <w:rPr>
          <w:rFonts w:ascii="Verdana" w:hAnsi="Verdana"/>
          <w:sz w:val="22"/>
          <w:szCs w:val="22"/>
        </w:rPr>
        <w:lastRenderedPageBreak/>
        <w:t xml:space="preserve">Sentencia No. 22 del 28 de abril de 2026, proferida por el Juzgado Promiscuo Municipal de Condoto. </w:t>
      </w:r>
    </w:p>
    <w:p w14:paraId="1C58C9F9" w14:textId="05A56357" w:rsidR="00E2508A" w:rsidRPr="00E2508A" w:rsidRDefault="00E2508A" w:rsidP="00E2508A">
      <w:pPr>
        <w:pStyle w:val="Prrafodelista"/>
        <w:numPr>
          <w:ilvl w:val="0"/>
          <w:numId w:val="18"/>
        </w:numPr>
        <w:spacing w:after="160" w:line="300" w:lineRule="auto"/>
        <w:jc w:val="both"/>
        <w:rPr>
          <w:rFonts w:ascii="Verdana" w:hAnsi="Verdana"/>
          <w:color w:val="000000" w:themeColor="text1"/>
          <w:sz w:val="22"/>
          <w:szCs w:val="22"/>
        </w:rPr>
      </w:pPr>
      <w:r w:rsidRPr="00E2508A">
        <w:rPr>
          <w:rFonts w:ascii="Verdana" w:hAnsi="Verdana"/>
          <w:sz w:val="22"/>
          <w:szCs w:val="22"/>
        </w:rPr>
        <w:t>Poder y actos administrativos que acreditan la representación judicial del Ministerio del Interior (Resolución No. 0939 del 3 de junio de 2026 y Acta de Posesión No. 106 del 4 de junio de 2026).</w:t>
      </w:r>
    </w:p>
    <w:p w14:paraId="17A5F87D" w14:textId="77777777" w:rsidR="00E2508A" w:rsidRDefault="00E2508A" w:rsidP="00E2508A">
      <w:pPr>
        <w:spacing w:after="160" w:line="300" w:lineRule="auto"/>
        <w:jc w:val="both"/>
        <w:rPr>
          <w:rFonts w:ascii="Verdana" w:hAnsi="Verdana"/>
          <w:color w:val="000000" w:themeColor="text1"/>
          <w:sz w:val="22"/>
          <w:szCs w:val="22"/>
        </w:rPr>
      </w:pPr>
    </w:p>
    <w:p w14:paraId="41E53DAC" w14:textId="77777777" w:rsidR="00E2508A" w:rsidRPr="00E2508A" w:rsidRDefault="00E2508A" w:rsidP="00E2508A">
      <w:pPr>
        <w:spacing w:after="160" w:line="300" w:lineRule="auto"/>
        <w:jc w:val="both"/>
        <w:rPr>
          <w:rFonts w:ascii="Verdana" w:hAnsi="Verdana"/>
          <w:color w:val="000000" w:themeColor="text1"/>
          <w:sz w:val="22"/>
          <w:szCs w:val="22"/>
        </w:rPr>
      </w:pPr>
    </w:p>
    <w:p w14:paraId="63523C47" w14:textId="7E75E2FF" w:rsidR="00E36F92" w:rsidRP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t>IX. COMPETENCIA</w:t>
      </w:r>
    </w:p>
    <w:p w14:paraId="0B92466D" w14:textId="05A48BC2" w:rsidR="00E36F92" w:rsidRPr="00E36F92" w:rsidRDefault="00E36F92" w:rsidP="00E36F92">
      <w:pPr>
        <w:rPr>
          <w:rFonts w:ascii="Verdana" w:hAnsi="Verdana"/>
          <w:sz w:val="22"/>
          <w:szCs w:val="22"/>
          <w:lang w:eastAsia="es-CO"/>
        </w:rPr>
      </w:pPr>
    </w:p>
    <w:p w14:paraId="149241E2" w14:textId="77777777" w:rsidR="00E36F92" w:rsidRPr="00E36F92" w:rsidRDefault="00E36F92" w:rsidP="00E36F92">
      <w:pPr>
        <w:rPr>
          <w:rFonts w:ascii="Verdana" w:hAnsi="Verdana"/>
          <w:sz w:val="22"/>
          <w:szCs w:val="22"/>
          <w:lang w:eastAsia="es-CO"/>
        </w:rPr>
      </w:pPr>
    </w:p>
    <w:p w14:paraId="6629342A" w14:textId="627192EE" w:rsidR="00E36F92" w:rsidRDefault="00E36F92" w:rsidP="00E36F92">
      <w:pPr>
        <w:spacing w:after="200" w:line="300" w:lineRule="auto"/>
        <w:jc w:val="both"/>
        <w:rPr>
          <w:rFonts w:ascii="Verdana" w:eastAsia="Arial" w:hAnsi="Verdana" w:cs="Arial"/>
          <w:color w:val="000000" w:themeColor="text1"/>
          <w:sz w:val="22"/>
          <w:szCs w:val="22"/>
        </w:rPr>
      </w:pPr>
      <w:r w:rsidRPr="00E36F92">
        <w:rPr>
          <w:rFonts w:ascii="Verdana" w:eastAsia="Arial" w:hAnsi="Verdana" w:cs="Arial"/>
          <w:color w:val="000000" w:themeColor="text1"/>
          <w:sz w:val="22"/>
          <w:szCs w:val="22"/>
        </w:rPr>
        <w:t>De conformidad con el artículo 1° del Decreto 1983 de 2017, que modificó el artículo 2.2.3.1.2.1 del Decreto 1069 de 2015, las acciones de tutela dirigidas contra los jueces o tribunales se reparten para su conocimiento en primera instancia al superior funcional de la autoridad judicial accionada; y cuando dicho superior funcional también resulte accionado —como ocurre en este caso, en el que se cuestionan tanto providencias del Juzgado Promiscuo Municipal de Condoto como de su superior funcional, el Juzgado Primero Penal del Circuito de Istmina—, el conocimiento corresponde al superior funcional de este último, esto es, al Tribunal Superior del Distrito Judicial de Quibdó – Chocó, a cuyo reparto respetuosamente se somete la presente acción.</w:t>
      </w:r>
    </w:p>
    <w:p w14:paraId="3A1EB2CA" w14:textId="46BDD2AA" w:rsidR="00E36F92" w:rsidRDefault="00E36F92" w:rsidP="00E36F92">
      <w:pPr>
        <w:spacing w:after="200" w:line="300" w:lineRule="auto"/>
        <w:jc w:val="both"/>
        <w:rPr>
          <w:rFonts w:ascii="Verdana" w:eastAsia="Arial" w:hAnsi="Verdana" w:cs="Arial"/>
          <w:color w:val="000000" w:themeColor="text1"/>
          <w:sz w:val="22"/>
          <w:szCs w:val="22"/>
        </w:rPr>
      </w:pPr>
    </w:p>
    <w:p w14:paraId="7B479115" w14:textId="77777777" w:rsidR="00E36F92" w:rsidRPr="00E36F92" w:rsidRDefault="00E36F92" w:rsidP="00E36F92">
      <w:pPr>
        <w:spacing w:after="200" w:line="300" w:lineRule="auto"/>
        <w:jc w:val="both"/>
        <w:rPr>
          <w:rFonts w:ascii="Verdana" w:eastAsia="Arial" w:hAnsi="Verdana" w:cs="Arial"/>
          <w:color w:val="000000" w:themeColor="text1"/>
          <w:sz w:val="22"/>
          <w:szCs w:val="22"/>
        </w:rPr>
      </w:pPr>
    </w:p>
    <w:p w14:paraId="0659DEF0" w14:textId="55C32053" w:rsidR="00E36F92" w:rsidRPr="00E36F92" w:rsidRDefault="00E36F92" w:rsidP="00E36F92">
      <w:pPr>
        <w:pStyle w:val="Ttulo1"/>
        <w:jc w:val="center"/>
        <w:rPr>
          <w:rFonts w:ascii="Verdana" w:eastAsia="Arial" w:hAnsi="Verdana" w:cs="Arial"/>
          <w:b/>
          <w:bCs/>
          <w:color w:val="000000" w:themeColor="text1"/>
          <w:sz w:val="22"/>
          <w:szCs w:val="22"/>
        </w:rPr>
      </w:pPr>
      <w:r w:rsidRPr="00E36F92">
        <w:rPr>
          <w:rFonts w:ascii="Verdana" w:eastAsia="Arial" w:hAnsi="Verdana" w:cs="Arial"/>
          <w:b/>
          <w:bCs/>
          <w:color w:val="000000" w:themeColor="text1"/>
          <w:sz w:val="22"/>
          <w:szCs w:val="22"/>
        </w:rPr>
        <w:t>X. NOTIFICACIONES</w:t>
      </w:r>
    </w:p>
    <w:p w14:paraId="2E3A47C6" w14:textId="77777777" w:rsidR="00E36F92" w:rsidRPr="00E36F92" w:rsidRDefault="00E36F92" w:rsidP="00E36F92">
      <w:pPr>
        <w:rPr>
          <w:rFonts w:ascii="Verdana" w:hAnsi="Verdana"/>
          <w:sz w:val="22"/>
          <w:szCs w:val="22"/>
          <w:lang w:eastAsia="es-CO"/>
        </w:rPr>
      </w:pPr>
    </w:p>
    <w:p w14:paraId="75F09C3C" w14:textId="12159537" w:rsidR="00E36F92" w:rsidRDefault="00E36F92" w:rsidP="00E36F92">
      <w:pPr>
        <w:spacing w:after="200" w:line="300" w:lineRule="auto"/>
        <w:jc w:val="both"/>
        <w:rPr>
          <w:rFonts w:ascii="Verdana" w:eastAsia="Arial" w:hAnsi="Verdana" w:cs="Arial"/>
          <w:color w:val="000000" w:themeColor="text1"/>
          <w:sz w:val="22"/>
          <w:szCs w:val="22"/>
        </w:rPr>
      </w:pPr>
      <w:r w:rsidRPr="00E36F92">
        <w:rPr>
          <w:rFonts w:ascii="Verdana" w:eastAsia="Arial" w:hAnsi="Verdana" w:cs="Arial"/>
          <w:color w:val="000000" w:themeColor="text1"/>
          <w:sz w:val="22"/>
          <w:szCs w:val="22"/>
        </w:rPr>
        <w:t xml:space="preserve">El Ministerio del Interior recibirá notificaciones en la Oficina de Correspondencia ubicada en la Calle 12 B No. 8-46 de Bogotá D.C., o en el buzón electrónico </w:t>
      </w:r>
      <w:hyperlink r:id="rId8" w:history="1">
        <w:r w:rsidRPr="00E36F92">
          <w:rPr>
            <w:rStyle w:val="Hipervnculo"/>
            <w:rFonts w:ascii="Verdana" w:eastAsia="Arial" w:hAnsi="Verdana" w:cs="Arial"/>
            <w:sz w:val="22"/>
            <w:szCs w:val="22"/>
          </w:rPr>
          <w:t>notificacionesjudiciales@mininterior.gov.co</w:t>
        </w:r>
      </w:hyperlink>
      <w:r w:rsidRPr="00E36F92">
        <w:rPr>
          <w:rFonts w:ascii="Verdana" w:eastAsia="Arial" w:hAnsi="Verdana" w:cs="Arial"/>
          <w:color w:val="000000" w:themeColor="text1"/>
          <w:sz w:val="22"/>
          <w:szCs w:val="22"/>
        </w:rPr>
        <w:t xml:space="preserve"> </w:t>
      </w:r>
      <w:hyperlink r:id="rId9" w:history="1">
        <w:r w:rsidR="00E2508A" w:rsidRPr="00C2177A">
          <w:rPr>
            <w:rStyle w:val="Hipervnculo"/>
            <w:rFonts w:ascii="Verdana" w:eastAsia="Arial" w:hAnsi="Verdana" w:cs="Arial"/>
            <w:sz w:val="22"/>
            <w:szCs w:val="22"/>
          </w:rPr>
          <w:t>Alejandrofranco999@gmail.com</w:t>
        </w:r>
      </w:hyperlink>
      <w:r w:rsidR="00E2508A">
        <w:rPr>
          <w:rFonts w:ascii="Verdana" w:eastAsia="Arial" w:hAnsi="Verdana" w:cs="Arial"/>
          <w:color w:val="000000" w:themeColor="text1"/>
          <w:sz w:val="22"/>
          <w:szCs w:val="22"/>
        </w:rPr>
        <w:t xml:space="preserve"> </w:t>
      </w:r>
      <w:hyperlink r:id="rId10" w:tgtFrame="_blank" w:history="1">
        <w:r w:rsidR="00E2508A" w:rsidRPr="00E2508A">
          <w:rPr>
            <w:rStyle w:val="Hipervnculo"/>
            <w:rFonts w:ascii="Verdana" w:eastAsia="Arial" w:hAnsi="Verdana" w:cs="Arial"/>
            <w:sz w:val="22"/>
            <w:szCs w:val="22"/>
          </w:rPr>
          <w:t>alejandro.franco@mininterior.gov.co</w:t>
        </w:r>
      </w:hyperlink>
      <w:r w:rsidR="00E2508A">
        <w:rPr>
          <w:rFonts w:ascii="Verdana" w:eastAsia="Arial" w:hAnsi="Verdana" w:cs="Arial"/>
          <w:color w:val="000000" w:themeColor="text1"/>
          <w:sz w:val="22"/>
          <w:szCs w:val="22"/>
        </w:rPr>
        <w:t xml:space="preserve">   </w:t>
      </w:r>
      <w:hyperlink r:id="rId11" w:tgtFrame="_blank" w:history="1">
        <w:r w:rsidR="00E2508A" w:rsidRPr="00E2508A">
          <w:rPr>
            <w:rStyle w:val="Hipervnculo"/>
            <w:rFonts w:ascii="Verdana" w:eastAsia="Arial" w:hAnsi="Verdana" w:cs="Arial"/>
            <w:sz w:val="22"/>
            <w:szCs w:val="22"/>
          </w:rPr>
          <w:t>adelaida.demoya@mininterior.gov.co</w:t>
        </w:r>
      </w:hyperlink>
    </w:p>
    <w:p w14:paraId="7953CAA6" w14:textId="77777777" w:rsidR="00E2508A" w:rsidRPr="00E36F92" w:rsidRDefault="00E2508A" w:rsidP="00E36F92">
      <w:pPr>
        <w:spacing w:after="200" w:line="300" w:lineRule="auto"/>
        <w:jc w:val="both"/>
        <w:rPr>
          <w:rFonts w:ascii="Verdana" w:hAnsi="Verdana"/>
          <w:color w:val="000000" w:themeColor="text1"/>
          <w:sz w:val="22"/>
          <w:szCs w:val="22"/>
        </w:rPr>
      </w:pPr>
    </w:p>
    <w:p w14:paraId="016B7F63" w14:textId="1402AC72" w:rsidR="00E36F92" w:rsidRDefault="00E36F92" w:rsidP="00E36F92">
      <w:pPr>
        <w:spacing w:after="200" w:line="300" w:lineRule="auto"/>
        <w:rPr>
          <w:rFonts w:ascii="Verdana" w:eastAsia="Arial" w:hAnsi="Verdana" w:cs="Arial"/>
          <w:color w:val="000000" w:themeColor="text1"/>
          <w:sz w:val="22"/>
          <w:szCs w:val="22"/>
        </w:rPr>
      </w:pPr>
      <w:r w:rsidRPr="00E36F92">
        <w:rPr>
          <w:rFonts w:ascii="Verdana" w:eastAsia="Arial" w:hAnsi="Verdana" w:cs="Arial"/>
          <w:color w:val="000000" w:themeColor="text1"/>
          <w:sz w:val="22"/>
          <w:szCs w:val="22"/>
        </w:rPr>
        <w:lastRenderedPageBreak/>
        <w:t xml:space="preserve">El Juzgado Promiscuo Municipal de Condoto, en </w:t>
      </w:r>
      <w:hyperlink r:id="rId12" w:history="1">
        <w:r w:rsidRPr="00E36F92">
          <w:rPr>
            <w:rStyle w:val="Hipervnculo"/>
            <w:rFonts w:ascii="Verdana" w:eastAsia="Arial" w:hAnsi="Verdana" w:cs="Arial"/>
            <w:sz w:val="22"/>
            <w:szCs w:val="22"/>
          </w:rPr>
          <w:t>jpmcondoto@cendoj.ramajudicial.gov.co</w:t>
        </w:r>
      </w:hyperlink>
      <w:r w:rsidRPr="00E36F92">
        <w:rPr>
          <w:rFonts w:ascii="Verdana" w:eastAsia="Arial" w:hAnsi="Verdana" w:cs="Arial"/>
          <w:color w:val="000000" w:themeColor="text1"/>
          <w:sz w:val="22"/>
          <w:szCs w:val="22"/>
        </w:rPr>
        <w:t xml:space="preserve"> .</w:t>
      </w:r>
    </w:p>
    <w:p w14:paraId="6B257185" w14:textId="77777777" w:rsidR="00E2508A" w:rsidRPr="00E36F92" w:rsidRDefault="00E2508A" w:rsidP="00E36F92">
      <w:pPr>
        <w:spacing w:after="200" w:line="300" w:lineRule="auto"/>
        <w:rPr>
          <w:rFonts w:ascii="Verdana" w:eastAsia="Arial" w:hAnsi="Verdana" w:cs="Arial"/>
          <w:color w:val="000000" w:themeColor="text1"/>
          <w:sz w:val="22"/>
          <w:szCs w:val="22"/>
        </w:rPr>
      </w:pPr>
    </w:p>
    <w:p w14:paraId="53ACD829" w14:textId="459E3CB9" w:rsidR="00E36F92" w:rsidRPr="00E36F92" w:rsidRDefault="00E36F92" w:rsidP="00E36F92">
      <w:pPr>
        <w:spacing w:after="200" w:line="300" w:lineRule="auto"/>
        <w:jc w:val="both"/>
        <w:rPr>
          <w:rFonts w:ascii="Verdana" w:eastAsia="Arial" w:hAnsi="Verdana" w:cs="Arial"/>
          <w:color w:val="000000" w:themeColor="text1"/>
          <w:sz w:val="22"/>
          <w:szCs w:val="22"/>
        </w:rPr>
      </w:pPr>
      <w:r w:rsidRPr="00E2508A">
        <w:rPr>
          <w:rFonts w:ascii="Verdana" w:eastAsia="Arial" w:hAnsi="Verdana" w:cs="Arial"/>
          <w:color w:val="000000" w:themeColor="text1"/>
          <w:sz w:val="22"/>
          <w:szCs w:val="22"/>
        </w:rPr>
        <w:t>El Juzgado Primero Penal del Circuito de Istmina, en su despacho judicial.</w:t>
      </w:r>
    </w:p>
    <w:p w14:paraId="628C6A19" w14:textId="1C2A376F" w:rsidR="00E36F92" w:rsidRDefault="00E36F92" w:rsidP="00E36F92">
      <w:pPr>
        <w:spacing w:after="200" w:line="300" w:lineRule="auto"/>
        <w:jc w:val="both"/>
        <w:rPr>
          <w:rFonts w:ascii="Verdana" w:hAnsi="Verdana"/>
          <w:color w:val="000000" w:themeColor="text1"/>
          <w:sz w:val="22"/>
          <w:szCs w:val="22"/>
        </w:rPr>
      </w:pPr>
    </w:p>
    <w:p w14:paraId="6C2F8F74" w14:textId="77777777" w:rsidR="00E2508A" w:rsidRPr="00E36F92" w:rsidRDefault="00E2508A" w:rsidP="00E36F92">
      <w:pPr>
        <w:spacing w:after="200" w:line="300" w:lineRule="auto"/>
        <w:jc w:val="both"/>
        <w:rPr>
          <w:rFonts w:ascii="Verdana" w:hAnsi="Verdana"/>
          <w:color w:val="000000" w:themeColor="text1"/>
          <w:sz w:val="22"/>
          <w:szCs w:val="22"/>
        </w:rPr>
      </w:pPr>
    </w:p>
    <w:p w14:paraId="2F5F9346" w14:textId="77777777" w:rsidR="00E2508A" w:rsidRDefault="00E2508A" w:rsidP="00E2508A">
      <w:pPr>
        <w:pStyle w:val="font-claude-response-body"/>
        <w:rPr>
          <w:rFonts w:ascii="Verdana" w:hAnsi="Verdana"/>
          <w:sz w:val="22"/>
          <w:szCs w:val="22"/>
        </w:rPr>
      </w:pPr>
      <w:r w:rsidRPr="00E2508A">
        <w:rPr>
          <w:rFonts w:ascii="Verdana" w:hAnsi="Verdana"/>
          <w:sz w:val="22"/>
          <w:szCs w:val="22"/>
        </w:rPr>
        <w:t>Del señor Magistrado, respetuosamente,</w:t>
      </w:r>
    </w:p>
    <w:p w14:paraId="6CDE855C" w14:textId="77777777" w:rsidR="00E2508A" w:rsidRDefault="00E2508A" w:rsidP="00E2508A">
      <w:pPr>
        <w:pStyle w:val="font-claude-response-body"/>
        <w:rPr>
          <w:rFonts w:ascii="Verdana" w:hAnsi="Verdana"/>
          <w:sz w:val="22"/>
          <w:szCs w:val="22"/>
        </w:rPr>
      </w:pPr>
    </w:p>
    <w:p w14:paraId="6B891EB3" w14:textId="77777777" w:rsidR="00E2508A" w:rsidRPr="00E2508A" w:rsidRDefault="00E2508A" w:rsidP="00E2508A">
      <w:pPr>
        <w:pStyle w:val="font-claude-response-body"/>
        <w:rPr>
          <w:rFonts w:ascii="Verdana" w:hAnsi="Verdana"/>
          <w:sz w:val="22"/>
          <w:szCs w:val="22"/>
        </w:rPr>
      </w:pPr>
    </w:p>
    <w:p w14:paraId="00A1AF96" w14:textId="77777777" w:rsidR="00E2508A" w:rsidRPr="00E2508A" w:rsidRDefault="00E2508A" w:rsidP="00E2508A">
      <w:pPr>
        <w:pStyle w:val="font-claude-response-body"/>
        <w:rPr>
          <w:rFonts w:ascii="Verdana" w:hAnsi="Verdana"/>
          <w:sz w:val="22"/>
          <w:szCs w:val="22"/>
        </w:rPr>
      </w:pPr>
      <w:r w:rsidRPr="00E2508A">
        <w:rPr>
          <w:rStyle w:val="Textoennegrita"/>
          <w:rFonts w:ascii="Verdana" w:eastAsiaTheme="majorEastAsia" w:hAnsi="Verdana"/>
          <w:sz w:val="22"/>
          <w:szCs w:val="22"/>
        </w:rPr>
        <w:t>ALEJANDRO FRANCO CASTAÑO</w:t>
      </w:r>
      <w:r w:rsidRPr="00E2508A">
        <w:rPr>
          <w:rFonts w:ascii="Verdana" w:hAnsi="Verdana"/>
          <w:sz w:val="22"/>
          <w:szCs w:val="22"/>
        </w:rPr>
        <w:br/>
        <w:t>C.C. No. 75.086.934</w:t>
      </w:r>
      <w:r w:rsidRPr="00E2508A">
        <w:rPr>
          <w:rFonts w:ascii="Verdana" w:hAnsi="Verdana"/>
          <w:sz w:val="22"/>
          <w:szCs w:val="22"/>
        </w:rPr>
        <w:br/>
        <w:t>T.P. No. 116906</w:t>
      </w:r>
    </w:p>
    <w:p w14:paraId="5CB35E8C" w14:textId="77777777" w:rsidR="00E36F92" w:rsidRPr="00E36F92" w:rsidRDefault="00E36F92">
      <w:pPr>
        <w:spacing w:line="276" w:lineRule="auto"/>
        <w:jc w:val="both"/>
        <w:rPr>
          <w:rFonts w:ascii="Verdana" w:hAnsi="Verdana"/>
          <w:color w:val="000000" w:themeColor="text1"/>
          <w:sz w:val="22"/>
          <w:szCs w:val="22"/>
        </w:rPr>
      </w:pPr>
    </w:p>
    <w:p w14:paraId="578B4401" w14:textId="77777777" w:rsidR="00E36F92" w:rsidRPr="00E36F92" w:rsidRDefault="00E36F92">
      <w:pPr>
        <w:spacing w:line="276" w:lineRule="auto"/>
        <w:jc w:val="both"/>
        <w:rPr>
          <w:rFonts w:ascii="Verdana" w:hAnsi="Verdana"/>
          <w:color w:val="000000" w:themeColor="text1"/>
          <w:sz w:val="22"/>
          <w:szCs w:val="22"/>
        </w:rPr>
      </w:pPr>
    </w:p>
    <w:p w14:paraId="25A7C895" w14:textId="77777777" w:rsidR="00E36F92" w:rsidRPr="00E36F92" w:rsidRDefault="00E36F92">
      <w:pPr>
        <w:spacing w:line="276" w:lineRule="auto"/>
        <w:jc w:val="both"/>
        <w:rPr>
          <w:rFonts w:ascii="Verdana" w:hAnsi="Verdana"/>
          <w:color w:val="000000" w:themeColor="text1"/>
          <w:sz w:val="22"/>
          <w:szCs w:val="22"/>
        </w:rPr>
      </w:pPr>
    </w:p>
    <w:p w14:paraId="5505F40B" w14:textId="77777777" w:rsidR="00E36F92" w:rsidRPr="00E36F92" w:rsidRDefault="00E36F92">
      <w:pPr>
        <w:spacing w:line="276" w:lineRule="auto"/>
        <w:jc w:val="both"/>
        <w:rPr>
          <w:rFonts w:ascii="Verdana" w:hAnsi="Verdana"/>
          <w:color w:val="000000" w:themeColor="text1"/>
          <w:sz w:val="22"/>
          <w:szCs w:val="22"/>
        </w:rPr>
      </w:pPr>
    </w:p>
    <w:p w14:paraId="4AF8C4F2" w14:textId="77777777" w:rsidR="00E36F92" w:rsidRPr="00E36F92" w:rsidRDefault="00E36F92">
      <w:pPr>
        <w:spacing w:line="276" w:lineRule="auto"/>
        <w:jc w:val="both"/>
        <w:rPr>
          <w:rFonts w:ascii="Verdana" w:hAnsi="Verdana"/>
          <w:color w:val="000000" w:themeColor="text1"/>
          <w:sz w:val="22"/>
          <w:szCs w:val="22"/>
        </w:rPr>
      </w:pPr>
    </w:p>
    <w:p w14:paraId="093B2071" w14:textId="77777777" w:rsidR="00E36F92" w:rsidRPr="00E36F92" w:rsidRDefault="00E36F92">
      <w:pPr>
        <w:spacing w:line="276" w:lineRule="auto"/>
        <w:jc w:val="both"/>
        <w:rPr>
          <w:rFonts w:ascii="Verdana" w:hAnsi="Verdana"/>
          <w:color w:val="000000" w:themeColor="text1"/>
          <w:sz w:val="22"/>
          <w:szCs w:val="22"/>
        </w:rPr>
      </w:pPr>
    </w:p>
    <w:p w14:paraId="2341AC98" w14:textId="77777777" w:rsidR="00E36F92" w:rsidRPr="00E36F92" w:rsidRDefault="00E36F92">
      <w:pPr>
        <w:spacing w:line="276" w:lineRule="auto"/>
        <w:jc w:val="both"/>
        <w:rPr>
          <w:rFonts w:ascii="Verdana" w:hAnsi="Verdana"/>
          <w:color w:val="000000" w:themeColor="text1"/>
          <w:sz w:val="22"/>
          <w:szCs w:val="22"/>
        </w:rPr>
      </w:pPr>
    </w:p>
    <w:p w14:paraId="3B5C4932" w14:textId="77777777" w:rsidR="00E36F92" w:rsidRPr="00E36F92" w:rsidRDefault="00E36F92">
      <w:pPr>
        <w:spacing w:line="276" w:lineRule="auto"/>
        <w:jc w:val="both"/>
        <w:rPr>
          <w:rFonts w:ascii="Verdana" w:hAnsi="Verdana"/>
          <w:color w:val="000000" w:themeColor="text1"/>
          <w:sz w:val="22"/>
          <w:szCs w:val="22"/>
        </w:rPr>
      </w:pPr>
    </w:p>
    <w:p w14:paraId="6A670A65" w14:textId="77777777" w:rsidR="005929D6" w:rsidRPr="00E36F92" w:rsidRDefault="005929D6">
      <w:pPr>
        <w:spacing w:line="276" w:lineRule="auto"/>
        <w:jc w:val="both"/>
        <w:rPr>
          <w:rFonts w:ascii="Verdana" w:hAnsi="Verdana"/>
          <w:color w:val="000000" w:themeColor="text1"/>
          <w:sz w:val="22"/>
          <w:szCs w:val="22"/>
        </w:rPr>
      </w:pPr>
    </w:p>
    <w:p w14:paraId="0E06AF8B" w14:textId="73C7F679" w:rsidR="005929D6" w:rsidRPr="00E36F92" w:rsidRDefault="005929D6" w:rsidP="00C62503">
      <w:pPr>
        <w:spacing w:line="276" w:lineRule="auto"/>
        <w:jc w:val="both"/>
        <w:rPr>
          <w:rFonts w:ascii="Verdana" w:hAnsi="Verdana"/>
          <w:color w:val="000000" w:themeColor="text1"/>
          <w:sz w:val="22"/>
          <w:szCs w:val="22"/>
        </w:rPr>
      </w:pPr>
    </w:p>
    <w:sectPr w:rsidR="005929D6" w:rsidRPr="00E36F92" w:rsidSect="00F66B64">
      <w:headerReference w:type="default" r:id="rId13"/>
      <w:footerReference w:type="default" r:id="rId14"/>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7E634" w14:textId="77777777" w:rsidR="00E44275" w:rsidRDefault="00E44275">
      <w:r>
        <w:separator/>
      </w:r>
    </w:p>
  </w:endnote>
  <w:endnote w:type="continuationSeparator" w:id="0">
    <w:p w14:paraId="4A014303" w14:textId="77777777" w:rsidR="00E44275" w:rsidRDefault="00E4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Light">
    <w:altName w:val="Arial Nov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277FE" w14:textId="77777777" w:rsidR="00A8702A" w:rsidRDefault="00295B8D">
    <w:pPr>
      <w:pStyle w:val="Piedepgina"/>
      <w:jc w:val="right"/>
    </w:pPr>
    <w:r>
      <w:rPr>
        <w:noProof/>
      </w:rPr>
      <mc:AlternateContent>
        <mc:Choice Requires="wps">
          <w:drawing>
            <wp:anchor distT="0" distB="0" distL="114300" distR="114300" simplePos="0" relativeHeight="251660288" behindDoc="0" locked="0" layoutInCell="1" allowOverlap="1" wp14:anchorId="7525649A" wp14:editId="36916F1E">
              <wp:simplePos x="0" y="0"/>
              <wp:positionH relativeFrom="margin">
                <wp:align>center</wp:align>
              </wp:positionH>
              <wp:positionV relativeFrom="paragraph">
                <wp:posOffset>-235585</wp:posOffset>
              </wp:positionV>
              <wp:extent cx="6029325" cy="955675"/>
              <wp:effectExtent l="0" t="0" r="0" b="0"/>
              <wp:wrapNone/>
              <wp:docPr id="2" name="_x0000_s000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029325" cy="955675"/>
                      </a:xfrm>
                      <a:prstGeom prst="rect">
                        <a:avLst/>
                      </a:prstGeom>
                      <a:noFill/>
                      <a:ln>
                        <a:noFill/>
                      </a:ln>
                    </wps:spPr>
                    <wps:txbx>
                      <w:txbxContent>
                        <w:p w14:paraId="7F83A270" w14:textId="77777777" w:rsidR="00A8702A" w:rsidRDefault="00295B8D">
                          <w:pPr>
                            <w:spacing w:line="276" w:lineRule="auto"/>
                            <w:jc w:val="both"/>
                            <w:rPr>
                              <w:rFonts w:ascii="Verdana" w:hAnsi="Verdana"/>
                              <w:sz w:val="20"/>
                            </w:rPr>
                          </w:pPr>
                          <w:r>
                            <w:rPr>
                              <w:rFonts w:ascii="Verdana" w:hAnsi="Verdana"/>
                              <w:sz w:val="20"/>
                            </w:rPr>
                            <w:t>________________________________________________________________________</w:t>
                          </w:r>
                        </w:p>
                        <w:p w14:paraId="77FBA2F6" w14:textId="77777777" w:rsidR="00A8702A" w:rsidRDefault="00295B8D">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0BA7B660" w14:textId="77777777" w:rsidR="00A8702A" w:rsidRDefault="00295B8D">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0C2FDB" w14:textId="77777777" w:rsidR="00A8702A" w:rsidRDefault="00295B8D">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3A94BA21" w14:textId="77777777" w:rsidR="00A8702A" w:rsidRDefault="00000000">
                          <w:pPr>
                            <w:spacing w:line="276" w:lineRule="auto"/>
                            <w:jc w:val="both"/>
                            <w:rPr>
                              <w:rFonts w:ascii="Helvetica Light" w:hAnsi="Helvetica Light"/>
                              <w:sz w:val="18"/>
                            </w:rPr>
                          </w:pPr>
                          <w:hyperlink r:id="rId1" w:history="1">
                            <w:r w:rsidR="00A8702A">
                              <w:rPr>
                                <w:rFonts w:ascii="Helvetica Light" w:hAnsi="Helvetica Light"/>
                                <w:sz w:val="18"/>
                              </w:rPr>
                              <w:t>servicioalciudadano@mininterior.gov.co</w:t>
                            </w:r>
                          </w:hyperlink>
                        </w:p>
                        <w:p w14:paraId="76B54818" w14:textId="77777777" w:rsidR="00A8702A" w:rsidRDefault="00295B8D">
                          <w:pPr>
                            <w:spacing w:line="276" w:lineRule="auto"/>
                            <w:jc w:val="both"/>
                            <w:rPr>
                              <w:rFonts w:ascii="Helvetica Light" w:hAnsi="Helvetica Light"/>
                              <w:sz w:val="18"/>
                            </w:rPr>
                          </w:pPr>
                          <w:r>
                            <w:rPr>
                              <w:rFonts w:ascii="Helvetica Light" w:hAnsi="Helvetica Light"/>
                              <w:sz w:val="18"/>
                            </w:rPr>
                            <w:t>www.mininterior.gov.co</w:t>
                          </w:r>
                        </w:p>
                        <w:p w14:paraId="239BC532" w14:textId="77777777" w:rsidR="00A8702A" w:rsidRDefault="00A8702A">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7525649A" id="_x0000_s0009" o:spid="_x0000_s1026" style="position:absolute;left:0;text-align:left;margin-left:0;margin-top:-18.55pt;width:474.75pt;height:75.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" filled="f" stroked="f">
              <o:lock v:ext="edit" aspectratio="t"/>
              <v:textbox>
                <w:txbxContent>
                  <w:p w14:paraId="7F83A270" w14:textId="77777777" w:rsidR="00A8702A" w:rsidRDefault="00295B8D">
                    <w:pPr>
                      <w:spacing w:line="276" w:lineRule="auto"/>
                      <w:jc w:val="both"/>
                      <w:rPr>
                        <w:rFonts w:ascii="Verdana" w:hAnsi="Verdana"/>
                        <w:sz w:val="20"/>
                      </w:rPr>
                    </w:pPr>
                    <w:r>
                      <w:rPr>
                        <w:rFonts w:ascii="Verdana" w:hAnsi="Verdana"/>
                        <w:sz w:val="20"/>
                      </w:rPr>
                      <w:t>________________________________________________________________________</w:t>
                    </w:r>
                  </w:p>
                  <w:p w14:paraId="77FBA2F6" w14:textId="77777777" w:rsidR="00A8702A" w:rsidRDefault="00295B8D">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0BA7B660" w14:textId="77777777" w:rsidR="00A8702A" w:rsidRDefault="00295B8D">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0C2FDB" w14:textId="77777777" w:rsidR="00A8702A" w:rsidRDefault="00295B8D">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3A94BA21" w14:textId="77777777" w:rsidR="00A8702A" w:rsidRDefault="00000000">
                    <w:pPr>
                      <w:spacing w:line="276" w:lineRule="auto"/>
                      <w:jc w:val="both"/>
                      <w:rPr>
                        <w:rFonts w:ascii="Helvetica Light" w:hAnsi="Helvetica Light"/>
                        <w:sz w:val="18"/>
                      </w:rPr>
                    </w:pPr>
                    <w:hyperlink r:id="rId2" w:history="1">
                      <w:r w:rsidR="00A8702A">
                        <w:rPr>
                          <w:rFonts w:ascii="Helvetica Light" w:hAnsi="Helvetica Light"/>
                          <w:sz w:val="18"/>
                        </w:rPr>
                        <w:t>servicioalciudadano@mininterior.gov.co</w:t>
                      </w:r>
                    </w:hyperlink>
                  </w:p>
                  <w:p w14:paraId="76B54818" w14:textId="77777777" w:rsidR="00A8702A" w:rsidRDefault="00295B8D">
                    <w:pPr>
                      <w:spacing w:line="276" w:lineRule="auto"/>
                      <w:jc w:val="both"/>
                      <w:rPr>
                        <w:rFonts w:ascii="Helvetica Light" w:hAnsi="Helvetica Light"/>
                        <w:sz w:val="18"/>
                      </w:rPr>
                    </w:pPr>
                    <w:r>
                      <w:rPr>
                        <w:rFonts w:ascii="Helvetica Light" w:hAnsi="Helvetica Light"/>
                        <w:sz w:val="18"/>
                      </w:rPr>
                      <w:t>www.mininterior.gov.co</w:t>
                    </w:r>
                  </w:p>
                  <w:p w14:paraId="239BC532" w14:textId="77777777" w:rsidR="00A8702A" w:rsidRDefault="00A8702A">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523D51" w14:textId="77777777" w:rsidR="00A8702A" w:rsidRDefault="00A8702A">
    <w:pPr>
      <w:spacing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A2F6" w14:textId="77777777" w:rsidR="00E44275" w:rsidRDefault="00E44275">
      <w:r>
        <w:separator/>
      </w:r>
    </w:p>
  </w:footnote>
  <w:footnote w:type="continuationSeparator" w:id="0">
    <w:p w14:paraId="3F6DA7E8" w14:textId="77777777" w:rsidR="00E44275" w:rsidRDefault="00E44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3C3E8" w14:textId="77777777" w:rsidR="00A8702A" w:rsidRDefault="00295B8D">
    <w:pPr>
      <w:pStyle w:val="Encabezado"/>
    </w:pPr>
    <w:r>
      <w:rPr>
        <w:noProof/>
        <w:lang w:eastAsia="es-CO"/>
      </w:rPr>
      <w:drawing>
        <wp:anchor distT="0" distB="0" distL="114300" distR="114300" simplePos="0" relativeHeight="251659264" behindDoc="1" locked="0" layoutInCell="1" allowOverlap="1" wp14:anchorId="3A8565EE" wp14:editId="2AA41E26">
          <wp:simplePos x="0" y="0"/>
          <wp:positionH relativeFrom="margin">
            <wp:align>left</wp:align>
          </wp:positionH>
          <wp:positionV relativeFrom="paragraph">
            <wp:posOffset>-67310</wp:posOffset>
          </wp:positionV>
          <wp:extent cx="1234440" cy="1057910"/>
          <wp:effectExtent l="0" t="0" r="0" b="0"/>
          <wp:wrapNone/>
          <wp:docPr id="1" name="_x0000_s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392F62C3" w14:textId="77777777" w:rsidR="00A8702A" w:rsidRDefault="00A8702A">
    <w:pPr>
      <w:pStyle w:val="Encabezado"/>
    </w:pPr>
  </w:p>
  <w:p w14:paraId="69ECB79E" w14:textId="77777777" w:rsidR="00A8702A" w:rsidRDefault="00A8702A">
    <w:pPr>
      <w:pStyle w:val="Encabezado"/>
    </w:pPr>
  </w:p>
  <w:p w14:paraId="394D0E00" w14:textId="77777777" w:rsidR="00A8702A" w:rsidRDefault="00A8702A">
    <w:pPr>
      <w:pStyle w:val="Encabezado"/>
    </w:pPr>
  </w:p>
  <w:p w14:paraId="5C1EFB87" w14:textId="77777777" w:rsidR="00A8702A" w:rsidRDefault="00A8702A">
    <w:pPr>
      <w:pStyle w:val="Encabezado"/>
    </w:pPr>
  </w:p>
  <w:p w14:paraId="2BA4489B" w14:textId="77777777" w:rsidR="00A8702A" w:rsidRDefault="00A8702A">
    <w:pPr>
      <w:pStyle w:val="Encabezado"/>
    </w:pPr>
  </w:p>
  <w:p w14:paraId="58821EA0" w14:textId="77777777" w:rsidR="00A8702A" w:rsidRDefault="00A8702A">
    <w:pPr>
      <w:pStyle w:val="Encabezado"/>
    </w:pPr>
  </w:p>
  <w:p w14:paraId="12DDC26F" w14:textId="77777777" w:rsidR="00A8702A" w:rsidRDefault="00A8702A">
    <w:pPr>
      <w:pStyle w:val="Encabezado"/>
    </w:pP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295B8D" w14:paraId="31458FFF" w14:textId="77777777">
      <w:trPr>
        <w:trHeight w:val="1408"/>
      </w:trPr>
      <w:tc>
        <w:tcPr>
          <w:tcW w:w="4537" w:type="dxa"/>
        </w:tcPr>
        <w:p w14:paraId="6078DBC9" w14:textId="77777777" w:rsidR="00A8702A" w:rsidRDefault="00295B8D">
          <w:pPr>
            <w:pStyle w:val="Encabezado"/>
            <w:tabs>
              <w:tab w:val="clear" w:pos="4419"/>
              <w:tab w:val="left" w:pos="7500"/>
            </w:tabs>
            <w:jc w:val="center"/>
            <w:rPr>
              <w:rFonts w:ascii="Helvetica Light" w:hAnsi="Helvetica Light"/>
              <w:sz w:val="18"/>
              <w:lang w:val="pt-BR" w:eastAsia="es-CO"/>
            </w:rPr>
          </w:pPr>
          <w:r>
            <w:rPr>
              <w:rFonts w:ascii="Helvetica Light" w:hAnsi="Helvetica Light"/>
              <w:sz w:val="18"/>
              <w:highlight w:val="white"/>
              <w:lang w:val="pt-BR"/>
            </w:rPr>
            <w:t>R3DkODE-39</w:t>
          </w:r>
        </w:p>
        <w:p w14:paraId="1794A875" w14:textId="77777777" w:rsidR="00A8702A" w:rsidRDefault="00A8702A">
          <w:pPr>
            <w:pStyle w:val="Encabezado"/>
            <w:tabs>
              <w:tab w:val="clear" w:pos="4419"/>
              <w:tab w:val="left" w:pos="7500"/>
            </w:tabs>
            <w:jc w:val="center"/>
            <w:rPr>
              <w:rFonts w:ascii="Helvetica Light" w:hAnsi="Helvetica Light"/>
              <w:sz w:val="18"/>
              <w:lang w:val="pt-BR"/>
            </w:rPr>
          </w:pPr>
        </w:p>
        <w:p w14:paraId="3D0F3C56" w14:textId="77777777" w:rsidR="00A8702A" w:rsidRDefault="00295B8D">
          <w:pPr>
            <w:pStyle w:val="Sinespaciado"/>
            <w:jc w:val="both"/>
            <w:rPr>
              <w:rFonts w:ascii="Helvetica Light" w:hAnsi="Helvetica Light"/>
              <w:sz w:val="14"/>
              <w:lang w:val="pt-BR"/>
            </w:rPr>
          </w:pPr>
          <w:r>
            <w:rPr>
              <w:rFonts w:ascii="Helvetica Light" w:hAnsi="Helvetica Light"/>
              <w:sz w:val="14"/>
              <w:lang w:val="pt-BR"/>
            </w:rPr>
            <w:t>R4D1C4D0_1</w:t>
          </w:r>
        </w:p>
        <w:p w14:paraId="0C8A930D" w14:textId="77777777" w:rsidR="00A8702A" w:rsidRDefault="00295B8D">
          <w:pPr>
            <w:pStyle w:val="Sinespaciado"/>
            <w:jc w:val="both"/>
            <w:rPr>
              <w:rFonts w:ascii="Helvetica Light" w:hAnsi="Helvetica Light"/>
              <w:sz w:val="14"/>
              <w:lang w:val="pt-BR"/>
            </w:rPr>
          </w:pPr>
          <w:r>
            <w:rPr>
              <w:rFonts w:ascii="Helvetica Light" w:hAnsi="Helvetica Light"/>
              <w:sz w:val="14"/>
              <w:lang w:val="pt-BR"/>
            </w:rPr>
            <w:t>R4D1C4D0_2</w:t>
          </w:r>
        </w:p>
        <w:p w14:paraId="3B380B1A" w14:textId="77777777" w:rsidR="00A8702A" w:rsidRDefault="00295B8D">
          <w:pPr>
            <w:pStyle w:val="Sinespaciado"/>
            <w:jc w:val="both"/>
            <w:rPr>
              <w:rFonts w:ascii="Helvetica Light" w:hAnsi="Helvetica Light"/>
              <w:sz w:val="14"/>
              <w:lang w:val="pt-BR"/>
            </w:rPr>
          </w:pPr>
          <w:r>
            <w:rPr>
              <w:rFonts w:ascii="Helvetica Light" w:hAnsi="Helvetica Light"/>
              <w:sz w:val="14"/>
              <w:lang w:val="pt-BR"/>
            </w:rPr>
            <w:t>R4D1C4D0_3</w:t>
          </w:r>
        </w:p>
        <w:p w14:paraId="700EB2D1" w14:textId="77777777" w:rsidR="00A8702A" w:rsidRDefault="00295B8D">
          <w:pPr>
            <w:pStyle w:val="Sinespaciado"/>
            <w:jc w:val="both"/>
            <w:rPr>
              <w:rFonts w:ascii="Helvetica Light" w:hAnsi="Helvetica Light"/>
              <w:sz w:val="14"/>
              <w:lang w:val="pt-BR"/>
            </w:rPr>
          </w:pPr>
          <w:r>
            <w:rPr>
              <w:rFonts w:ascii="Helvetica Light" w:hAnsi="Helvetica Light"/>
              <w:sz w:val="14"/>
              <w:lang w:val="pt-BR"/>
            </w:rPr>
            <w:t>R4D1C4D0_4</w:t>
          </w:r>
        </w:p>
        <w:p w14:paraId="7EEEFBFA" w14:textId="77777777" w:rsidR="00A8702A" w:rsidRDefault="00295B8D">
          <w:pPr>
            <w:pStyle w:val="Encabezado"/>
          </w:pPr>
          <w:r>
            <w:rPr>
              <w:rFonts w:ascii="Helvetica Light" w:hAnsi="Helvetica Light"/>
              <w:sz w:val="14"/>
            </w:rPr>
            <w:t>R4D1C4D0_5</w:t>
          </w:r>
        </w:p>
      </w:tc>
    </w:tr>
  </w:tbl>
  <w:p w14:paraId="54B1EBF3" w14:textId="77777777" w:rsidR="00A8702A" w:rsidRDefault="00A8702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52DF"/>
    <w:multiLevelType w:val="multilevel"/>
    <w:tmpl w:val="DD4C6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AC1C7B"/>
    <w:multiLevelType w:val="multilevel"/>
    <w:tmpl w:val="C81E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711323"/>
    <w:multiLevelType w:val="hybridMultilevel"/>
    <w:tmpl w:val="697C4EF2"/>
    <w:lvl w:ilvl="0" w:tplc="80608B82">
      <w:start w:val="1"/>
      <w:numFmt w:val="decimal"/>
      <w:lvlText w:val="%1."/>
      <w:lvlJc w:val="left"/>
      <w:pPr>
        <w:ind w:left="360" w:hanging="360"/>
      </w:pPr>
      <w:rPr>
        <w:rFonts w:eastAsia="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A455ADC"/>
    <w:multiLevelType w:val="hybridMultilevel"/>
    <w:tmpl w:val="F5B61274"/>
    <w:lvl w:ilvl="0" w:tplc="3F1CA1B0">
      <w:start w:val="1"/>
      <w:numFmt w:val="lowerLetter"/>
      <w:lvlText w:val="%1)"/>
      <w:lvlJc w:val="left"/>
      <w:pPr>
        <w:ind w:left="720" w:hanging="360"/>
      </w:pPr>
    </w:lvl>
    <w:lvl w:ilvl="1" w:tplc="68AACA82">
      <w:numFmt w:val="decimal"/>
      <w:lvlText w:val=""/>
      <w:lvlJc w:val="left"/>
    </w:lvl>
    <w:lvl w:ilvl="2" w:tplc="8DAEC9BA">
      <w:numFmt w:val="decimal"/>
      <w:lvlText w:val=""/>
      <w:lvlJc w:val="left"/>
    </w:lvl>
    <w:lvl w:ilvl="3" w:tplc="9C981BC6">
      <w:numFmt w:val="decimal"/>
      <w:lvlText w:val=""/>
      <w:lvlJc w:val="left"/>
    </w:lvl>
    <w:lvl w:ilvl="4" w:tplc="FCAAD1D6">
      <w:numFmt w:val="decimal"/>
      <w:lvlText w:val=""/>
      <w:lvlJc w:val="left"/>
    </w:lvl>
    <w:lvl w:ilvl="5" w:tplc="783ABBD0">
      <w:numFmt w:val="decimal"/>
      <w:lvlText w:val=""/>
      <w:lvlJc w:val="left"/>
    </w:lvl>
    <w:lvl w:ilvl="6" w:tplc="A060F3F8">
      <w:numFmt w:val="decimal"/>
      <w:lvlText w:val=""/>
      <w:lvlJc w:val="left"/>
    </w:lvl>
    <w:lvl w:ilvl="7" w:tplc="03AE8048">
      <w:numFmt w:val="decimal"/>
      <w:lvlText w:val=""/>
      <w:lvlJc w:val="left"/>
    </w:lvl>
    <w:lvl w:ilvl="8" w:tplc="AB520816">
      <w:numFmt w:val="decimal"/>
      <w:lvlText w:val=""/>
      <w:lvlJc w:val="left"/>
    </w:lvl>
  </w:abstractNum>
  <w:abstractNum w:abstractNumId="4" w15:restartNumberingAfterBreak="0">
    <w:nsid w:val="32F34E36"/>
    <w:multiLevelType w:val="hybridMultilevel"/>
    <w:tmpl w:val="B2BA040C"/>
    <w:lvl w:ilvl="0" w:tplc="120CCDEE">
      <w:start w:val="6"/>
      <w:numFmt w:val="upp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34561827"/>
    <w:multiLevelType w:val="multilevel"/>
    <w:tmpl w:val="7A80E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292A46"/>
    <w:multiLevelType w:val="multilevel"/>
    <w:tmpl w:val="1AE4E9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D37A49"/>
    <w:multiLevelType w:val="multilevel"/>
    <w:tmpl w:val="9F6EDCBA"/>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5DA772B"/>
    <w:multiLevelType w:val="multilevel"/>
    <w:tmpl w:val="18747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455675"/>
    <w:multiLevelType w:val="hybridMultilevel"/>
    <w:tmpl w:val="3418FD24"/>
    <w:lvl w:ilvl="0" w:tplc="7CBC9F70">
      <w:start w:val="1"/>
      <w:numFmt w:val="decimal"/>
      <w:lvlText w:val="%1."/>
      <w:lvlJc w:val="left"/>
      <w:pPr>
        <w:ind w:left="360" w:hanging="360"/>
      </w:pPr>
      <w:rPr>
        <w:rFonts w:eastAsia="Arial" w:cs="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C285897"/>
    <w:multiLevelType w:val="multilevel"/>
    <w:tmpl w:val="AE7C5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4F0D90"/>
    <w:multiLevelType w:val="multilevel"/>
    <w:tmpl w:val="220C899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CF47D1"/>
    <w:multiLevelType w:val="hybridMultilevel"/>
    <w:tmpl w:val="412246EC"/>
    <w:lvl w:ilvl="0" w:tplc="E42E44FE">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47B3A85"/>
    <w:multiLevelType w:val="multilevel"/>
    <w:tmpl w:val="67F22F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AC6AC6"/>
    <w:multiLevelType w:val="hybridMultilevel"/>
    <w:tmpl w:val="694AA666"/>
    <w:lvl w:ilvl="0" w:tplc="E07481F0">
      <w:numFmt w:val="bullet"/>
      <w:lvlText w:val="-"/>
      <w:lvlJc w:val="left"/>
      <w:pPr>
        <w:ind w:left="515" w:hanging="360"/>
      </w:pPr>
      <w:rPr>
        <w:rFonts w:ascii="Verdana" w:eastAsia="Times New Roman" w:hAnsi="Verdana" w:cs="Times New Roman" w:hint="default"/>
      </w:rPr>
    </w:lvl>
    <w:lvl w:ilvl="1" w:tplc="080A0003" w:tentative="1">
      <w:start w:val="1"/>
      <w:numFmt w:val="bullet"/>
      <w:lvlText w:val="o"/>
      <w:lvlJc w:val="left"/>
      <w:pPr>
        <w:ind w:left="1235" w:hanging="360"/>
      </w:pPr>
      <w:rPr>
        <w:rFonts w:ascii="Courier New" w:hAnsi="Courier New" w:cs="Courier New" w:hint="default"/>
      </w:rPr>
    </w:lvl>
    <w:lvl w:ilvl="2" w:tplc="080A0005" w:tentative="1">
      <w:start w:val="1"/>
      <w:numFmt w:val="bullet"/>
      <w:lvlText w:val=""/>
      <w:lvlJc w:val="left"/>
      <w:pPr>
        <w:ind w:left="1955" w:hanging="360"/>
      </w:pPr>
      <w:rPr>
        <w:rFonts w:ascii="Wingdings" w:hAnsi="Wingdings" w:hint="default"/>
      </w:rPr>
    </w:lvl>
    <w:lvl w:ilvl="3" w:tplc="080A0001" w:tentative="1">
      <w:start w:val="1"/>
      <w:numFmt w:val="bullet"/>
      <w:lvlText w:val=""/>
      <w:lvlJc w:val="left"/>
      <w:pPr>
        <w:ind w:left="2675" w:hanging="360"/>
      </w:pPr>
      <w:rPr>
        <w:rFonts w:ascii="Symbol" w:hAnsi="Symbol" w:hint="default"/>
      </w:rPr>
    </w:lvl>
    <w:lvl w:ilvl="4" w:tplc="080A0003" w:tentative="1">
      <w:start w:val="1"/>
      <w:numFmt w:val="bullet"/>
      <w:lvlText w:val="o"/>
      <w:lvlJc w:val="left"/>
      <w:pPr>
        <w:ind w:left="3395" w:hanging="360"/>
      </w:pPr>
      <w:rPr>
        <w:rFonts w:ascii="Courier New" w:hAnsi="Courier New" w:cs="Courier New" w:hint="default"/>
      </w:rPr>
    </w:lvl>
    <w:lvl w:ilvl="5" w:tplc="080A0005" w:tentative="1">
      <w:start w:val="1"/>
      <w:numFmt w:val="bullet"/>
      <w:lvlText w:val=""/>
      <w:lvlJc w:val="left"/>
      <w:pPr>
        <w:ind w:left="4115" w:hanging="360"/>
      </w:pPr>
      <w:rPr>
        <w:rFonts w:ascii="Wingdings" w:hAnsi="Wingdings" w:hint="default"/>
      </w:rPr>
    </w:lvl>
    <w:lvl w:ilvl="6" w:tplc="080A0001" w:tentative="1">
      <w:start w:val="1"/>
      <w:numFmt w:val="bullet"/>
      <w:lvlText w:val=""/>
      <w:lvlJc w:val="left"/>
      <w:pPr>
        <w:ind w:left="4835" w:hanging="360"/>
      </w:pPr>
      <w:rPr>
        <w:rFonts w:ascii="Symbol" w:hAnsi="Symbol" w:hint="default"/>
      </w:rPr>
    </w:lvl>
    <w:lvl w:ilvl="7" w:tplc="080A0003" w:tentative="1">
      <w:start w:val="1"/>
      <w:numFmt w:val="bullet"/>
      <w:lvlText w:val="o"/>
      <w:lvlJc w:val="left"/>
      <w:pPr>
        <w:ind w:left="5555" w:hanging="360"/>
      </w:pPr>
      <w:rPr>
        <w:rFonts w:ascii="Courier New" w:hAnsi="Courier New" w:cs="Courier New" w:hint="default"/>
      </w:rPr>
    </w:lvl>
    <w:lvl w:ilvl="8" w:tplc="080A0005" w:tentative="1">
      <w:start w:val="1"/>
      <w:numFmt w:val="bullet"/>
      <w:lvlText w:val=""/>
      <w:lvlJc w:val="left"/>
      <w:pPr>
        <w:ind w:left="6275" w:hanging="360"/>
      </w:pPr>
      <w:rPr>
        <w:rFonts w:ascii="Wingdings" w:hAnsi="Wingdings" w:hint="default"/>
      </w:rPr>
    </w:lvl>
  </w:abstractNum>
  <w:abstractNum w:abstractNumId="15" w15:restartNumberingAfterBreak="0">
    <w:nsid w:val="617EF98E"/>
    <w:multiLevelType w:val="multilevel"/>
    <w:tmpl w:val="DA88286A"/>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29713CF"/>
    <w:multiLevelType w:val="hybridMultilevel"/>
    <w:tmpl w:val="3466B2BE"/>
    <w:lvl w:ilvl="0" w:tplc="BA7CD69C">
      <w:start w:val="1"/>
      <w:numFmt w:val="decimal"/>
      <w:lvlText w:val="%1."/>
      <w:lvlJc w:val="left"/>
      <w:pPr>
        <w:ind w:left="720" w:hanging="360"/>
      </w:pPr>
    </w:lvl>
    <w:lvl w:ilvl="1" w:tplc="C9E629DC">
      <w:numFmt w:val="decimal"/>
      <w:lvlText w:val=""/>
      <w:lvlJc w:val="left"/>
    </w:lvl>
    <w:lvl w:ilvl="2" w:tplc="3DF8BBD6">
      <w:numFmt w:val="decimal"/>
      <w:lvlText w:val=""/>
      <w:lvlJc w:val="left"/>
    </w:lvl>
    <w:lvl w:ilvl="3" w:tplc="ADEE08C2">
      <w:numFmt w:val="decimal"/>
      <w:lvlText w:val=""/>
      <w:lvlJc w:val="left"/>
    </w:lvl>
    <w:lvl w:ilvl="4" w:tplc="38FED898">
      <w:numFmt w:val="decimal"/>
      <w:lvlText w:val=""/>
      <w:lvlJc w:val="left"/>
    </w:lvl>
    <w:lvl w:ilvl="5" w:tplc="FDF44332">
      <w:numFmt w:val="decimal"/>
      <w:lvlText w:val=""/>
      <w:lvlJc w:val="left"/>
    </w:lvl>
    <w:lvl w:ilvl="6" w:tplc="30CE9E7C">
      <w:numFmt w:val="decimal"/>
      <w:lvlText w:val=""/>
      <w:lvlJc w:val="left"/>
    </w:lvl>
    <w:lvl w:ilvl="7" w:tplc="87E25B32">
      <w:numFmt w:val="decimal"/>
      <w:lvlText w:val=""/>
      <w:lvlJc w:val="left"/>
    </w:lvl>
    <w:lvl w:ilvl="8" w:tplc="EAA20028">
      <w:numFmt w:val="decimal"/>
      <w:lvlText w:val=""/>
      <w:lvlJc w:val="left"/>
    </w:lvl>
  </w:abstractNum>
  <w:abstractNum w:abstractNumId="17" w15:restartNumberingAfterBreak="0">
    <w:nsid w:val="6FA27818"/>
    <w:multiLevelType w:val="multilevel"/>
    <w:tmpl w:val="FC4C7C1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8C31F76"/>
    <w:multiLevelType w:val="multilevel"/>
    <w:tmpl w:val="450EB0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9344715">
    <w:abstractNumId w:val="15"/>
  </w:num>
  <w:num w:numId="2" w16cid:durableId="1737623639">
    <w:abstractNumId w:val="7"/>
  </w:num>
  <w:num w:numId="3" w16cid:durableId="1199507911">
    <w:abstractNumId w:val="14"/>
  </w:num>
  <w:num w:numId="4" w16cid:durableId="1463578768">
    <w:abstractNumId w:val="0"/>
  </w:num>
  <w:num w:numId="5" w16cid:durableId="356277915">
    <w:abstractNumId w:val="4"/>
  </w:num>
  <w:num w:numId="6" w16cid:durableId="2116515455">
    <w:abstractNumId w:val="12"/>
  </w:num>
  <w:num w:numId="7" w16cid:durableId="1641884500">
    <w:abstractNumId w:val="10"/>
  </w:num>
  <w:num w:numId="8" w16cid:durableId="1114910394">
    <w:abstractNumId w:val="1"/>
  </w:num>
  <w:num w:numId="9" w16cid:durableId="1199202010">
    <w:abstractNumId w:val="5"/>
  </w:num>
  <w:num w:numId="10" w16cid:durableId="663171879">
    <w:abstractNumId w:val="8"/>
  </w:num>
  <w:num w:numId="11" w16cid:durableId="2115902173">
    <w:abstractNumId w:val="6"/>
  </w:num>
  <w:num w:numId="12" w16cid:durableId="1833376491">
    <w:abstractNumId w:val="13"/>
  </w:num>
  <w:num w:numId="13" w16cid:durableId="1295411333">
    <w:abstractNumId w:val="18"/>
  </w:num>
  <w:num w:numId="14" w16cid:durableId="912475523">
    <w:abstractNumId w:val="17"/>
  </w:num>
  <w:num w:numId="15" w16cid:durableId="1013142540">
    <w:abstractNumId w:val="11"/>
  </w:num>
  <w:num w:numId="16" w16cid:durableId="1287198245">
    <w:abstractNumId w:val="16"/>
    <w:lvlOverride w:ilvl="0">
      <w:startOverride w:val="1"/>
    </w:lvlOverride>
  </w:num>
  <w:num w:numId="17" w16cid:durableId="1998221465">
    <w:abstractNumId w:val="3"/>
    <w:lvlOverride w:ilvl="0">
      <w:startOverride w:val="1"/>
    </w:lvlOverride>
  </w:num>
  <w:num w:numId="18" w16cid:durableId="712270617">
    <w:abstractNumId w:val="2"/>
  </w:num>
  <w:num w:numId="19" w16cid:durableId="6629767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B64"/>
    <w:rsid w:val="000033E8"/>
    <w:rsid w:val="0000345B"/>
    <w:rsid w:val="000060BC"/>
    <w:rsid w:val="00037D1C"/>
    <w:rsid w:val="00094349"/>
    <w:rsid w:val="000D32A1"/>
    <w:rsid w:val="00123D42"/>
    <w:rsid w:val="00130B92"/>
    <w:rsid w:val="001312A8"/>
    <w:rsid w:val="001446CB"/>
    <w:rsid w:val="00170C0D"/>
    <w:rsid w:val="001C57D5"/>
    <w:rsid w:val="00244CED"/>
    <w:rsid w:val="002504AA"/>
    <w:rsid w:val="00267AEF"/>
    <w:rsid w:val="00280D54"/>
    <w:rsid w:val="00283A01"/>
    <w:rsid w:val="00295B8D"/>
    <w:rsid w:val="002C7533"/>
    <w:rsid w:val="002E48AF"/>
    <w:rsid w:val="002E7A31"/>
    <w:rsid w:val="0031368D"/>
    <w:rsid w:val="003215E2"/>
    <w:rsid w:val="00362BF6"/>
    <w:rsid w:val="0038603E"/>
    <w:rsid w:val="00390DA2"/>
    <w:rsid w:val="003B3608"/>
    <w:rsid w:val="004061BD"/>
    <w:rsid w:val="0041370F"/>
    <w:rsid w:val="00433B07"/>
    <w:rsid w:val="00464B7F"/>
    <w:rsid w:val="004C70C6"/>
    <w:rsid w:val="004F253F"/>
    <w:rsid w:val="004F2D94"/>
    <w:rsid w:val="004F7F11"/>
    <w:rsid w:val="00503606"/>
    <w:rsid w:val="00506F56"/>
    <w:rsid w:val="00552E2D"/>
    <w:rsid w:val="005929D6"/>
    <w:rsid w:val="005C1CCA"/>
    <w:rsid w:val="005D35F0"/>
    <w:rsid w:val="005E0051"/>
    <w:rsid w:val="0060738E"/>
    <w:rsid w:val="00613708"/>
    <w:rsid w:val="00622A5A"/>
    <w:rsid w:val="0064063E"/>
    <w:rsid w:val="00647361"/>
    <w:rsid w:val="0065552E"/>
    <w:rsid w:val="00662294"/>
    <w:rsid w:val="006C3166"/>
    <w:rsid w:val="006C7089"/>
    <w:rsid w:val="006C7540"/>
    <w:rsid w:val="006D3AB4"/>
    <w:rsid w:val="006D3DF1"/>
    <w:rsid w:val="00706D51"/>
    <w:rsid w:val="00730654"/>
    <w:rsid w:val="00743519"/>
    <w:rsid w:val="00767D13"/>
    <w:rsid w:val="00772C69"/>
    <w:rsid w:val="00777D7C"/>
    <w:rsid w:val="007C79A2"/>
    <w:rsid w:val="007D392D"/>
    <w:rsid w:val="007F457B"/>
    <w:rsid w:val="007F6AF1"/>
    <w:rsid w:val="00805A50"/>
    <w:rsid w:val="00886789"/>
    <w:rsid w:val="00886E35"/>
    <w:rsid w:val="008A4115"/>
    <w:rsid w:val="008A417C"/>
    <w:rsid w:val="008B727E"/>
    <w:rsid w:val="008E3B06"/>
    <w:rsid w:val="00900E92"/>
    <w:rsid w:val="00947335"/>
    <w:rsid w:val="00995777"/>
    <w:rsid w:val="009C39D8"/>
    <w:rsid w:val="009E7282"/>
    <w:rsid w:val="009F4BC3"/>
    <w:rsid w:val="00A03A1F"/>
    <w:rsid w:val="00A068DE"/>
    <w:rsid w:val="00A231B5"/>
    <w:rsid w:val="00A33E2E"/>
    <w:rsid w:val="00A46FC4"/>
    <w:rsid w:val="00A56917"/>
    <w:rsid w:val="00A8702A"/>
    <w:rsid w:val="00AB14BE"/>
    <w:rsid w:val="00AB212C"/>
    <w:rsid w:val="00AD2357"/>
    <w:rsid w:val="00AD5707"/>
    <w:rsid w:val="00AE6421"/>
    <w:rsid w:val="00B14A30"/>
    <w:rsid w:val="00B41B8B"/>
    <w:rsid w:val="00B5734D"/>
    <w:rsid w:val="00B92F51"/>
    <w:rsid w:val="00BA00D6"/>
    <w:rsid w:val="00BA2BD5"/>
    <w:rsid w:val="00BA781C"/>
    <w:rsid w:val="00BB2A41"/>
    <w:rsid w:val="00BE09AB"/>
    <w:rsid w:val="00BF0D72"/>
    <w:rsid w:val="00BF5214"/>
    <w:rsid w:val="00C2091D"/>
    <w:rsid w:val="00C241FA"/>
    <w:rsid w:val="00C52348"/>
    <w:rsid w:val="00C62503"/>
    <w:rsid w:val="00C94FAF"/>
    <w:rsid w:val="00CA57DA"/>
    <w:rsid w:val="00CA5ED4"/>
    <w:rsid w:val="00CC2416"/>
    <w:rsid w:val="00CC5FC6"/>
    <w:rsid w:val="00CE5D08"/>
    <w:rsid w:val="00D02FA9"/>
    <w:rsid w:val="00D1107E"/>
    <w:rsid w:val="00D32C7F"/>
    <w:rsid w:val="00D43D12"/>
    <w:rsid w:val="00D444D1"/>
    <w:rsid w:val="00D44C70"/>
    <w:rsid w:val="00D511DB"/>
    <w:rsid w:val="00D65545"/>
    <w:rsid w:val="00D67372"/>
    <w:rsid w:val="00D76A18"/>
    <w:rsid w:val="00D82120"/>
    <w:rsid w:val="00D94501"/>
    <w:rsid w:val="00DB246E"/>
    <w:rsid w:val="00DB755A"/>
    <w:rsid w:val="00DC3347"/>
    <w:rsid w:val="00DC6F81"/>
    <w:rsid w:val="00DE325F"/>
    <w:rsid w:val="00E03809"/>
    <w:rsid w:val="00E2508A"/>
    <w:rsid w:val="00E25D17"/>
    <w:rsid w:val="00E349AA"/>
    <w:rsid w:val="00E36F92"/>
    <w:rsid w:val="00E43247"/>
    <w:rsid w:val="00E44275"/>
    <w:rsid w:val="00E7162B"/>
    <w:rsid w:val="00EA3A76"/>
    <w:rsid w:val="00EA61BD"/>
    <w:rsid w:val="00F03091"/>
    <w:rsid w:val="00F6100C"/>
    <w:rsid w:val="00F66B64"/>
    <w:rsid w:val="00F674E9"/>
    <w:rsid w:val="00F81F9C"/>
    <w:rsid w:val="00F95DD2"/>
    <w:rsid w:val="00F97D99"/>
    <w:rsid w:val="00FB3833"/>
    <w:rsid w:val="00FE6381"/>
    <w:rsid w:val="00FF40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BB768"/>
  <w15:chartTrackingRefBased/>
  <w15:docId w15:val="{31950382-34E7-44D6-BB38-8798F03ED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917"/>
    <w:rPr>
      <w:rFonts w:ascii="Times New Roman" w:eastAsia="Times New Roman" w:hAnsi="Times New Roman" w:cs="Times New Roman"/>
      <w:kern w:val="0"/>
      <w:lang w:eastAsia="es-ES_tradnl"/>
      <w14:ligatures w14:val="none"/>
    </w:rPr>
  </w:style>
  <w:style w:type="paragraph" w:styleId="Ttulo1">
    <w:name w:val="heading 1"/>
    <w:basedOn w:val="Normal"/>
    <w:next w:val="Normal"/>
    <w:link w:val="Ttulo1Car"/>
    <w:uiPriority w:val="9"/>
    <w:qFormat/>
    <w:rsid w:val="00F66B64"/>
    <w:pPr>
      <w:keepNext/>
      <w:keepLines/>
      <w:spacing w:before="360" w:after="80"/>
      <w:outlineLvl w:val="0"/>
    </w:pPr>
    <w:rPr>
      <w:rFonts w:asciiTheme="majorHAnsi" w:eastAsiaTheme="majorEastAsia" w:hAnsiTheme="majorHAnsi" w:cstheme="majorBidi"/>
      <w:color w:val="0F4761" w:themeColor="accent1" w:themeShade="BF"/>
      <w:sz w:val="40"/>
      <w:szCs w:val="40"/>
      <w:lang w:eastAsia="es-CO"/>
    </w:rPr>
  </w:style>
  <w:style w:type="paragraph" w:styleId="Ttulo2">
    <w:name w:val="heading 2"/>
    <w:basedOn w:val="Normal"/>
    <w:next w:val="Normal"/>
    <w:link w:val="Ttulo2Car"/>
    <w:uiPriority w:val="9"/>
    <w:semiHidden/>
    <w:unhideWhenUsed/>
    <w:qFormat/>
    <w:rsid w:val="00F66B64"/>
    <w:pPr>
      <w:keepNext/>
      <w:keepLines/>
      <w:spacing w:before="160" w:after="80"/>
      <w:outlineLvl w:val="1"/>
    </w:pPr>
    <w:rPr>
      <w:rFonts w:asciiTheme="majorHAnsi" w:eastAsiaTheme="majorEastAsia" w:hAnsiTheme="majorHAnsi" w:cstheme="majorBidi"/>
      <w:color w:val="0F4761" w:themeColor="accent1" w:themeShade="BF"/>
      <w:sz w:val="32"/>
      <w:szCs w:val="32"/>
      <w:lang w:eastAsia="es-CO"/>
    </w:rPr>
  </w:style>
  <w:style w:type="paragraph" w:styleId="Ttulo3">
    <w:name w:val="heading 3"/>
    <w:basedOn w:val="Normal"/>
    <w:next w:val="Normal"/>
    <w:link w:val="Ttulo3Car"/>
    <w:uiPriority w:val="9"/>
    <w:semiHidden/>
    <w:unhideWhenUsed/>
    <w:qFormat/>
    <w:rsid w:val="00F66B64"/>
    <w:pPr>
      <w:keepNext/>
      <w:keepLines/>
      <w:spacing w:before="160" w:after="80"/>
      <w:outlineLvl w:val="2"/>
    </w:pPr>
    <w:rPr>
      <w:rFonts w:eastAsiaTheme="majorEastAsia" w:cstheme="majorBidi"/>
      <w:color w:val="0F4761" w:themeColor="accent1" w:themeShade="BF"/>
      <w:sz w:val="28"/>
      <w:szCs w:val="28"/>
      <w:lang w:eastAsia="es-CO"/>
    </w:rPr>
  </w:style>
  <w:style w:type="paragraph" w:styleId="Ttulo4">
    <w:name w:val="heading 4"/>
    <w:basedOn w:val="Normal"/>
    <w:next w:val="Normal"/>
    <w:link w:val="Ttulo4Car"/>
    <w:uiPriority w:val="9"/>
    <w:semiHidden/>
    <w:unhideWhenUsed/>
    <w:qFormat/>
    <w:rsid w:val="00F66B64"/>
    <w:pPr>
      <w:keepNext/>
      <w:keepLines/>
      <w:spacing w:before="80" w:after="40"/>
      <w:outlineLvl w:val="3"/>
    </w:pPr>
    <w:rPr>
      <w:rFonts w:eastAsiaTheme="majorEastAsia" w:cstheme="majorBidi"/>
      <w:i/>
      <w:iCs/>
      <w:color w:val="0F4761" w:themeColor="accent1" w:themeShade="BF"/>
      <w:szCs w:val="20"/>
      <w:lang w:eastAsia="es-CO"/>
    </w:rPr>
  </w:style>
  <w:style w:type="paragraph" w:styleId="Ttulo5">
    <w:name w:val="heading 5"/>
    <w:basedOn w:val="Normal"/>
    <w:next w:val="Normal"/>
    <w:link w:val="Ttulo5Car"/>
    <w:uiPriority w:val="9"/>
    <w:semiHidden/>
    <w:unhideWhenUsed/>
    <w:qFormat/>
    <w:rsid w:val="00F66B64"/>
    <w:pPr>
      <w:keepNext/>
      <w:keepLines/>
      <w:spacing w:before="80" w:after="40"/>
      <w:outlineLvl w:val="4"/>
    </w:pPr>
    <w:rPr>
      <w:rFonts w:eastAsiaTheme="majorEastAsia" w:cstheme="majorBidi"/>
      <w:color w:val="0F4761" w:themeColor="accent1" w:themeShade="BF"/>
      <w:szCs w:val="20"/>
      <w:lang w:eastAsia="es-CO"/>
    </w:rPr>
  </w:style>
  <w:style w:type="paragraph" w:styleId="Ttulo6">
    <w:name w:val="heading 6"/>
    <w:basedOn w:val="Normal"/>
    <w:next w:val="Normal"/>
    <w:link w:val="Ttulo6Car"/>
    <w:uiPriority w:val="9"/>
    <w:semiHidden/>
    <w:unhideWhenUsed/>
    <w:qFormat/>
    <w:rsid w:val="00F66B64"/>
    <w:pPr>
      <w:keepNext/>
      <w:keepLines/>
      <w:spacing w:before="40"/>
      <w:outlineLvl w:val="5"/>
    </w:pPr>
    <w:rPr>
      <w:rFonts w:eastAsiaTheme="majorEastAsia" w:cstheme="majorBidi"/>
      <w:i/>
      <w:iCs/>
      <w:color w:val="595959" w:themeColor="text1" w:themeTint="A6"/>
      <w:szCs w:val="20"/>
      <w:lang w:eastAsia="es-CO"/>
    </w:rPr>
  </w:style>
  <w:style w:type="paragraph" w:styleId="Ttulo7">
    <w:name w:val="heading 7"/>
    <w:basedOn w:val="Normal"/>
    <w:next w:val="Normal"/>
    <w:link w:val="Ttulo7Car"/>
    <w:uiPriority w:val="9"/>
    <w:semiHidden/>
    <w:unhideWhenUsed/>
    <w:qFormat/>
    <w:rsid w:val="00F66B64"/>
    <w:pPr>
      <w:keepNext/>
      <w:keepLines/>
      <w:spacing w:before="40"/>
      <w:outlineLvl w:val="6"/>
    </w:pPr>
    <w:rPr>
      <w:rFonts w:eastAsiaTheme="majorEastAsia" w:cstheme="majorBidi"/>
      <w:color w:val="595959" w:themeColor="text1" w:themeTint="A6"/>
      <w:szCs w:val="20"/>
      <w:lang w:eastAsia="es-CO"/>
    </w:rPr>
  </w:style>
  <w:style w:type="paragraph" w:styleId="Ttulo8">
    <w:name w:val="heading 8"/>
    <w:basedOn w:val="Normal"/>
    <w:next w:val="Normal"/>
    <w:link w:val="Ttulo8Car"/>
    <w:uiPriority w:val="9"/>
    <w:semiHidden/>
    <w:unhideWhenUsed/>
    <w:qFormat/>
    <w:rsid w:val="00F66B64"/>
    <w:pPr>
      <w:keepNext/>
      <w:keepLines/>
      <w:outlineLvl w:val="7"/>
    </w:pPr>
    <w:rPr>
      <w:rFonts w:eastAsiaTheme="majorEastAsia" w:cstheme="majorBidi"/>
      <w:i/>
      <w:iCs/>
      <w:color w:val="272727" w:themeColor="text1" w:themeTint="D8"/>
      <w:szCs w:val="20"/>
      <w:lang w:eastAsia="es-CO"/>
    </w:rPr>
  </w:style>
  <w:style w:type="paragraph" w:styleId="Ttulo9">
    <w:name w:val="heading 9"/>
    <w:basedOn w:val="Normal"/>
    <w:next w:val="Normal"/>
    <w:link w:val="Ttulo9Car"/>
    <w:uiPriority w:val="9"/>
    <w:semiHidden/>
    <w:unhideWhenUsed/>
    <w:qFormat/>
    <w:rsid w:val="00F66B64"/>
    <w:pPr>
      <w:keepNext/>
      <w:keepLines/>
      <w:outlineLvl w:val="8"/>
    </w:pPr>
    <w:rPr>
      <w:rFonts w:eastAsiaTheme="majorEastAsia" w:cstheme="majorBidi"/>
      <w:color w:val="272727" w:themeColor="text1" w:themeTint="D8"/>
      <w:szCs w:val="20"/>
      <w:lang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6B64"/>
    <w:rPr>
      <w:rFonts w:asciiTheme="majorHAnsi" w:eastAsiaTheme="majorEastAsia" w:hAnsiTheme="majorHAnsi" w:cstheme="majorBidi"/>
      <w:color w:val="0F4761" w:themeColor="accent1" w:themeShade="BF"/>
      <w:sz w:val="40"/>
      <w:szCs w:val="40"/>
      <w:lang w:val="es-ES"/>
    </w:rPr>
  </w:style>
  <w:style w:type="character" w:customStyle="1" w:styleId="Ttulo2Car">
    <w:name w:val="Título 2 Car"/>
    <w:basedOn w:val="Fuentedeprrafopredeter"/>
    <w:link w:val="Ttulo2"/>
    <w:uiPriority w:val="9"/>
    <w:semiHidden/>
    <w:rsid w:val="00F66B64"/>
    <w:rPr>
      <w:rFonts w:asciiTheme="majorHAnsi" w:eastAsiaTheme="majorEastAsia" w:hAnsiTheme="majorHAnsi" w:cstheme="majorBidi"/>
      <w:color w:val="0F4761" w:themeColor="accent1" w:themeShade="BF"/>
      <w:sz w:val="32"/>
      <w:szCs w:val="32"/>
      <w:lang w:val="es-ES"/>
    </w:rPr>
  </w:style>
  <w:style w:type="character" w:customStyle="1" w:styleId="Ttulo3Car">
    <w:name w:val="Título 3 Car"/>
    <w:basedOn w:val="Fuentedeprrafopredeter"/>
    <w:link w:val="Ttulo3"/>
    <w:uiPriority w:val="9"/>
    <w:semiHidden/>
    <w:rsid w:val="00F66B64"/>
    <w:rPr>
      <w:rFonts w:eastAsiaTheme="majorEastAsia" w:cstheme="majorBidi"/>
      <w:color w:val="0F4761" w:themeColor="accent1" w:themeShade="BF"/>
      <w:sz w:val="28"/>
      <w:szCs w:val="28"/>
      <w:lang w:val="es-ES"/>
    </w:rPr>
  </w:style>
  <w:style w:type="character" w:customStyle="1" w:styleId="Ttulo4Car">
    <w:name w:val="Título 4 Car"/>
    <w:basedOn w:val="Fuentedeprrafopredeter"/>
    <w:link w:val="Ttulo4"/>
    <w:uiPriority w:val="9"/>
    <w:semiHidden/>
    <w:rsid w:val="00F66B64"/>
    <w:rPr>
      <w:rFonts w:eastAsiaTheme="majorEastAsia" w:cstheme="majorBidi"/>
      <w:i/>
      <w:iCs/>
      <w:color w:val="0F4761" w:themeColor="accent1" w:themeShade="BF"/>
      <w:lang w:val="es-ES"/>
    </w:rPr>
  </w:style>
  <w:style w:type="character" w:customStyle="1" w:styleId="Ttulo5Car">
    <w:name w:val="Título 5 Car"/>
    <w:basedOn w:val="Fuentedeprrafopredeter"/>
    <w:link w:val="Ttulo5"/>
    <w:uiPriority w:val="9"/>
    <w:semiHidden/>
    <w:rsid w:val="00F66B64"/>
    <w:rPr>
      <w:rFonts w:eastAsiaTheme="majorEastAsia" w:cstheme="majorBidi"/>
      <w:color w:val="0F4761" w:themeColor="accent1" w:themeShade="BF"/>
      <w:lang w:val="es-ES"/>
    </w:rPr>
  </w:style>
  <w:style w:type="character" w:customStyle="1" w:styleId="Ttulo6Car">
    <w:name w:val="Título 6 Car"/>
    <w:basedOn w:val="Fuentedeprrafopredeter"/>
    <w:link w:val="Ttulo6"/>
    <w:uiPriority w:val="9"/>
    <w:semiHidden/>
    <w:rsid w:val="00F66B64"/>
    <w:rPr>
      <w:rFonts w:eastAsiaTheme="majorEastAsia" w:cstheme="majorBidi"/>
      <w:i/>
      <w:iCs/>
      <w:color w:val="595959" w:themeColor="text1" w:themeTint="A6"/>
      <w:lang w:val="es-ES"/>
    </w:rPr>
  </w:style>
  <w:style w:type="character" w:customStyle="1" w:styleId="Ttulo7Car">
    <w:name w:val="Título 7 Car"/>
    <w:basedOn w:val="Fuentedeprrafopredeter"/>
    <w:link w:val="Ttulo7"/>
    <w:uiPriority w:val="9"/>
    <w:semiHidden/>
    <w:rsid w:val="00F66B64"/>
    <w:rPr>
      <w:rFonts w:eastAsiaTheme="majorEastAsia" w:cstheme="majorBidi"/>
      <w:color w:val="595959" w:themeColor="text1" w:themeTint="A6"/>
      <w:lang w:val="es-ES"/>
    </w:rPr>
  </w:style>
  <w:style w:type="character" w:customStyle="1" w:styleId="Ttulo8Car">
    <w:name w:val="Título 8 Car"/>
    <w:basedOn w:val="Fuentedeprrafopredeter"/>
    <w:link w:val="Ttulo8"/>
    <w:uiPriority w:val="9"/>
    <w:semiHidden/>
    <w:rsid w:val="00F66B64"/>
    <w:rPr>
      <w:rFonts w:eastAsiaTheme="majorEastAsia" w:cstheme="majorBidi"/>
      <w:i/>
      <w:iCs/>
      <w:color w:val="272727" w:themeColor="text1" w:themeTint="D8"/>
      <w:lang w:val="es-ES"/>
    </w:rPr>
  </w:style>
  <w:style w:type="character" w:customStyle="1" w:styleId="Ttulo9Car">
    <w:name w:val="Título 9 Car"/>
    <w:basedOn w:val="Fuentedeprrafopredeter"/>
    <w:link w:val="Ttulo9"/>
    <w:uiPriority w:val="9"/>
    <w:semiHidden/>
    <w:rsid w:val="00F66B64"/>
    <w:rPr>
      <w:rFonts w:eastAsiaTheme="majorEastAsia" w:cstheme="majorBidi"/>
      <w:color w:val="272727" w:themeColor="text1" w:themeTint="D8"/>
      <w:lang w:val="es-ES"/>
    </w:rPr>
  </w:style>
  <w:style w:type="paragraph" w:styleId="Ttulo">
    <w:name w:val="Title"/>
    <w:basedOn w:val="Normal"/>
    <w:next w:val="Normal"/>
    <w:link w:val="TtuloCar"/>
    <w:uiPriority w:val="10"/>
    <w:qFormat/>
    <w:rsid w:val="00F66B64"/>
    <w:pPr>
      <w:spacing w:after="80"/>
      <w:contextualSpacing/>
    </w:pPr>
    <w:rPr>
      <w:rFonts w:asciiTheme="majorHAnsi" w:eastAsiaTheme="majorEastAsia" w:hAnsiTheme="majorHAnsi" w:cstheme="majorBidi"/>
      <w:spacing w:val="-10"/>
      <w:kern w:val="28"/>
      <w:sz w:val="56"/>
      <w:szCs w:val="56"/>
      <w:lang w:eastAsia="es-CO"/>
    </w:rPr>
  </w:style>
  <w:style w:type="character" w:customStyle="1" w:styleId="TtuloCar">
    <w:name w:val="Título Car"/>
    <w:basedOn w:val="Fuentedeprrafopredeter"/>
    <w:link w:val="Ttulo"/>
    <w:uiPriority w:val="10"/>
    <w:rsid w:val="00F66B64"/>
    <w:rPr>
      <w:rFonts w:asciiTheme="majorHAnsi" w:eastAsiaTheme="majorEastAsia" w:hAnsiTheme="majorHAnsi" w:cstheme="majorBidi"/>
      <w:spacing w:val="-10"/>
      <w:kern w:val="28"/>
      <w:sz w:val="56"/>
      <w:szCs w:val="56"/>
      <w:lang w:val="es-ES"/>
    </w:rPr>
  </w:style>
  <w:style w:type="paragraph" w:styleId="Subttulo">
    <w:name w:val="Subtitle"/>
    <w:basedOn w:val="Normal"/>
    <w:next w:val="Normal"/>
    <w:link w:val="SubttuloCar"/>
    <w:uiPriority w:val="11"/>
    <w:qFormat/>
    <w:rsid w:val="00F66B64"/>
    <w:pPr>
      <w:numPr>
        <w:ilvl w:val="1"/>
      </w:numPr>
      <w:spacing w:after="160"/>
    </w:pPr>
    <w:rPr>
      <w:rFonts w:eastAsiaTheme="majorEastAsia" w:cstheme="majorBidi"/>
      <w:color w:val="595959" w:themeColor="text1" w:themeTint="A6"/>
      <w:spacing w:val="15"/>
      <w:sz w:val="28"/>
      <w:szCs w:val="28"/>
      <w:lang w:eastAsia="es-CO"/>
    </w:rPr>
  </w:style>
  <w:style w:type="character" w:customStyle="1" w:styleId="SubttuloCar">
    <w:name w:val="Subtítulo Car"/>
    <w:basedOn w:val="Fuentedeprrafopredeter"/>
    <w:link w:val="Subttulo"/>
    <w:uiPriority w:val="11"/>
    <w:rsid w:val="00F66B64"/>
    <w:rPr>
      <w:rFonts w:eastAsiaTheme="majorEastAsia" w:cstheme="majorBidi"/>
      <w:color w:val="595959" w:themeColor="text1" w:themeTint="A6"/>
      <w:spacing w:val="15"/>
      <w:sz w:val="28"/>
      <w:szCs w:val="28"/>
      <w:lang w:val="es-ES"/>
    </w:rPr>
  </w:style>
  <w:style w:type="paragraph" w:styleId="Cita">
    <w:name w:val="Quote"/>
    <w:basedOn w:val="Normal"/>
    <w:next w:val="Normal"/>
    <w:link w:val="CitaCar"/>
    <w:uiPriority w:val="29"/>
    <w:qFormat/>
    <w:rsid w:val="00F66B64"/>
    <w:pPr>
      <w:spacing w:before="160" w:after="160"/>
      <w:jc w:val="center"/>
    </w:pPr>
    <w:rPr>
      <w:i/>
      <w:iCs/>
      <w:color w:val="404040" w:themeColor="text1" w:themeTint="BF"/>
      <w:szCs w:val="20"/>
      <w:lang w:eastAsia="es-CO"/>
    </w:rPr>
  </w:style>
  <w:style w:type="character" w:customStyle="1" w:styleId="CitaCar">
    <w:name w:val="Cita Car"/>
    <w:basedOn w:val="Fuentedeprrafopredeter"/>
    <w:link w:val="Cita"/>
    <w:uiPriority w:val="29"/>
    <w:rsid w:val="00F66B64"/>
    <w:rPr>
      <w:i/>
      <w:iCs/>
      <w:color w:val="404040" w:themeColor="text1" w:themeTint="BF"/>
      <w:lang w:val="es-ES"/>
    </w:rPr>
  </w:style>
  <w:style w:type="paragraph" w:styleId="Prrafodelista">
    <w:name w:val="List Paragraph"/>
    <w:aliases w:val="Bullet List,FooterText,numbered,Paragraphe de liste1,Bulletr List Paragraph,列出段落,列出段落1,List Paragraph21,Listeafsnit1,Parágrafo da Lista1,Cita textual,Ha,titulo 3,Bullets,Chulito,parrafo,HOJA,Bolita,Párrafo de lista4,BOLADEF,titulo 5"/>
    <w:basedOn w:val="Normal"/>
    <w:link w:val="PrrafodelistaCar"/>
    <w:qFormat/>
    <w:rsid w:val="00F66B64"/>
    <w:pPr>
      <w:ind w:left="720"/>
      <w:contextualSpacing/>
    </w:pPr>
    <w:rPr>
      <w:szCs w:val="20"/>
      <w:lang w:eastAsia="es-CO"/>
    </w:rPr>
  </w:style>
  <w:style w:type="character" w:styleId="nfasisintenso">
    <w:name w:val="Intense Emphasis"/>
    <w:basedOn w:val="Fuentedeprrafopredeter"/>
    <w:uiPriority w:val="21"/>
    <w:qFormat/>
    <w:rsid w:val="00F66B64"/>
    <w:rPr>
      <w:i/>
      <w:iCs/>
      <w:color w:val="0F4761" w:themeColor="accent1" w:themeShade="BF"/>
    </w:rPr>
  </w:style>
  <w:style w:type="paragraph" w:styleId="Citadestacada">
    <w:name w:val="Intense Quote"/>
    <w:basedOn w:val="Normal"/>
    <w:next w:val="Normal"/>
    <w:link w:val="CitadestacadaCar"/>
    <w:uiPriority w:val="30"/>
    <w:qFormat/>
    <w:rsid w:val="00F66B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0"/>
      <w:lang w:eastAsia="es-CO"/>
    </w:rPr>
  </w:style>
  <w:style w:type="character" w:customStyle="1" w:styleId="CitadestacadaCar">
    <w:name w:val="Cita destacada Car"/>
    <w:basedOn w:val="Fuentedeprrafopredeter"/>
    <w:link w:val="Citadestacada"/>
    <w:uiPriority w:val="30"/>
    <w:rsid w:val="00F66B64"/>
    <w:rPr>
      <w:i/>
      <w:iCs/>
      <w:color w:val="0F4761" w:themeColor="accent1" w:themeShade="BF"/>
      <w:lang w:val="es-ES"/>
    </w:rPr>
  </w:style>
  <w:style w:type="character" w:styleId="Referenciaintensa">
    <w:name w:val="Intense Reference"/>
    <w:basedOn w:val="Fuentedeprrafopredeter"/>
    <w:uiPriority w:val="32"/>
    <w:qFormat/>
    <w:rsid w:val="00F66B64"/>
    <w:rPr>
      <w:b/>
      <w:bCs/>
      <w:smallCaps/>
      <w:color w:val="0F4761" w:themeColor="accent1" w:themeShade="BF"/>
      <w:spacing w:val="5"/>
    </w:rPr>
  </w:style>
  <w:style w:type="paragraph" w:styleId="Encabezado">
    <w:name w:val="header"/>
    <w:basedOn w:val="Normal"/>
    <w:link w:val="EncabezadoCar"/>
    <w:qFormat/>
    <w:rsid w:val="00F66B64"/>
    <w:pPr>
      <w:tabs>
        <w:tab w:val="center" w:pos="4419"/>
        <w:tab w:val="right" w:pos="8838"/>
      </w:tabs>
    </w:pPr>
    <w:rPr>
      <w:rFonts w:ascii="Calibri" w:hAnsi="Calibri"/>
      <w:sz w:val="22"/>
      <w:szCs w:val="20"/>
      <w:lang w:eastAsia="en-US"/>
    </w:rPr>
  </w:style>
  <w:style w:type="character" w:customStyle="1" w:styleId="EncabezadoCar">
    <w:name w:val="Encabezado Car"/>
    <w:basedOn w:val="Fuentedeprrafopredeter"/>
    <w:link w:val="Encabezado"/>
    <w:rsid w:val="00F66B64"/>
    <w:rPr>
      <w:rFonts w:ascii="Calibri" w:eastAsia="Times New Roman" w:hAnsi="Calibri" w:cs="Times New Roman"/>
      <w:kern w:val="0"/>
      <w:sz w:val="22"/>
      <w:szCs w:val="20"/>
      <w14:ligatures w14:val="none"/>
    </w:rPr>
  </w:style>
  <w:style w:type="paragraph" w:styleId="Piedepgina">
    <w:name w:val="footer"/>
    <w:basedOn w:val="Normal"/>
    <w:link w:val="PiedepginaCar"/>
    <w:qFormat/>
    <w:rsid w:val="00F66B64"/>
    <w:pPr>
      <w:tabs>
        <w:tab w:val="center" w:pos="4419"/>
        <w:tab w:val="right" w:pos="8838"/>
      </w:tabs>
    </w:pPr>
    <w:rPr>
      <w:rFonts w:ascii="Calibri" w:hAnsi="Calibri"/>
      <w:sz w:val="22"/>
      <w:szCs w:val="20"/>
      <w:lang w:eastAsia="en-US"/>
    </w:rPr>
  </w:style>
  <w:style w:type="character" w:customStyle="1" w:styleId="PiedepginaCar">
    <w:name w:val="Pie de página Car"/>
    <w:basedOn w:val="Fuentedeprrafopredeter"/>
    <w:link w:val="Piedepgina"/>
    <w:rsid w:val="00F66B64"/>
    <w:rPr>
      <w:rFonts w:ascii="Calibri" w:eastAsia="Times New Roman" w:hAnsi="Calibri" w:cs="Times New Roman"/>
      <w:kern w:val="0"/>
      <w:sz w:val="22"/>
      <w:szCs w:val="20"/>
      <w14:ligatures w14:val="none"/>
    </w:rPr>
  </w:style>
  <w:style w:type="paragraph" w:styleId="Sinespaciado">
    <w:name w:val="No Spacing"/>
    <w:link w:val="SinespaciadoCar"/>
    <w:qFormat/>
    <w:rsid w:val="00F66B64"/>
    <w:rPr>
      <w:rFonts w:ascii="Calibri" w:eastAsia="Times New Roman" w:hAnsi="Calibri" w:cs="Times New Roman"/>
      <w:kern w:val="0"/>
      <w:sz w:val="22"/>
      <w:szCs w:val="20"/>
      <w14:ligatures w14:val="none"/>
    </w:rPr>
  </w:style>
  <w:style w:type="character" w:styleId="Hipervnculo">
    <w:name w:val="Hyperlink"/>
    <w:basedOn w:val="Fuentedeprrafopredeter"/>
    <w:rsid w:val="00F66B64"/>
    <w:rPr>
      <w:color w:val="467886" w:themeColor="hyperlink"/>
      <w:u w:val="single"/>
    </w:rPr>
  </w:style>
  <w:style w:type="character" w:customStyle="1" w:styleId="SinespaciadoCar">
    <w:name w:val="Sin espaciado Car"/>
    <w:link w:val="Sinespaciado"/>
    <w:rsid w:val="00F66B64"/>
    <w:rPr>
      <w:rFonts w:ascii="Calibri" w:eastAsia="Times New Roman" w:hAnsi="Calibri" w:cs="Times New Roman"/>
      <w:kern w:val="0"/>
      <w:sz w:val="22"/>
      <w:szCs w:val="20"/>
      <w14:ligatures w14:val="none"/>
    </w:rPr>
  </w:style>
  <w:style w:type="character" w:customStyle="1" w:styleId="PrrafodelistaCar">
    <w:name w:val="Párrafo de lista Car"/>
    <w:aliases w:val="Bullet List Car,FooterText Car,numbered Car,Paragraphe de liste1 Car,Bulletr List Paragraph Car,列出段落 Car,列出段落1 Car,List Paragraph21 Car,Listeafsnit1 Car,Parágrafo da Lista1 Car,Cita textual Car,Ha Car,titulo 3 Car,Bullets Car"/>
    <w:link w:val="Prrafodelista"/>
    <w:qFormat/>
    <w:rsid w:val="00F66B64"/>
    <w:rPr>
      <w:lang w:val="es-ES"/>
    </w:rPr>
  </w:style>
  <w:style w:type="table" w:customStyle="1" w:styleId="TableNormal">
    <w:name w:val="Table Normal"/>
    <w:semiHidden/>
    <w:qFormat/>
    <w:rsid w:val="00F66B64"/>
    <w:pPr>
      <w:widowControl w:val="0"/>
    </w:pPr>
    <w:rPr>
      <w:rFonts w:ascii="Calibri" w:eastAsia="Times New Roman" w:hAnsi="Calibri" w:cs="Times New Roman"/>
      <w:kern w:val="0"/>
      <w:sz w:val="22"/>
      <w:szCs w:val="20"/>
      <w:lang w:val="en-US"/>
      <w14:ligatures w14:val="none"/>
    </w:rPr>
    <w:tblPr>
      <w:tblInd w:w="0" w:type="dxa"/>
      <w:tblCellMar>
        <w:top w:w="0" w:type="dxa"/>
        <w:left w:w="0" w:type="dxa"/>
        <w:bottom w:w="0" w:type="dxa"/>
        <w:right w:w="0" w:type="dxa"/>
      </w:tblCellMar>
    </w:tblPr>
  </w:style>
  <w:style w:type="paragraph" w:customStyle="1" w:styleId="whitespace-normal">
    <w:name w:val="whitespace-normal"/>
    <w:basedOn w:val="Normal"/>
    <w:rsid w:val="00F66B64"/>
    <w:pPr>
      <w:spacing w:before="100" w:beforeAutospacing="1" w:after="100" w:afterAutospacing="1"/>
    </w:pPr>
    <w:rPr>
      <w:lang w:eastAsia="es-MX"/>
    </w:rPr>
  </w:style>
  <w:style w:type="paragraph" w:styleId="NormalWeb">
    <w:name w:val="Normal (Web)"/>
    <w:basedOn w:val="Normal"/>
    <w:uiPriority w:val="99"/>
    <w:unhideWhenUsed/>
    <w:rsid w:val="00F66B64"/>
    <w:pPr>
      <w:spacing w:before="100" w:beforeAutospacing="1" w:after="100" w:afterAutospacing="1"/>
    </w:pPr>
    <w:rPr>
      <w:lang w:eastAsia="es-MX"/>
    </w:rPr>
  </w:style>
  <w:style w:type="character" w:styleId="Mencinsinresolver">
    <w:name w:val="Unresolved Mention"/>
    <w:basedOn w:val="Fuentedeprrafopredeter"/>
    <w:uiPriority w:val="99"/>
    <w:semiHidden/>
    <w:unhideWhenUsed/>
    <w:rsid w:val="00F66B64"/>
    <w:rPr>
      <w:color w:val="605E5C"/>
      <w:shd w:val="clear" w:color="auto" w:fill="E1DFDD"/>
    </w:rPr>
  </w:style>
  <w:style w:type="paragraph" w:customStyle="1" w:styleId="Default">
    <w:name w:val="Default"/>
    <w:rsid w:val="00C94FAF"/>
    <w:pPr>
      <w:autoSpaceDE w:val="0"/>
      <w:autoSpaceDN w:val="0"/>
      <w:adjustRightInd w:val="0"/>
    </w:pPr>
    <w:rPr>
      <w:rFonts w:ascii="Arial" w:hAnsi="Arial" w:cs="Arial"/>
      <w:color w:val="000000"/>
      <w:kern w:val="0"/>
      <w:lang w:val="es-ES"/>
      <w14:ligatures w14:val="none"/>
    </w:rPr>
  </w:style>
  <w:style w:type="character" w:styleId="Refdecomentario">
    <w:name w:val="annotation reference"/>
    <w:basedOn w:val="Fuentedeprrafopredeter"/>
    <w:uiPriority w:val="99"/>
    <w:semiHidden/>
    <w:unhideWhenUsed/>
    <w:rsid w:val="00647361"/>
    <w:rPr>
      <w:sz w:val="16"/>
      <w:szCs w:val="16"/>
    </w:rPr>
  </w:style>
  <w:style w:type="paragraph" w:styleId="Textocomentario">
    <w:name w:val="annotation text"/>
    <w:basedOn w:val="Normal"/>
    <w:link w:val="TextocomentarioCar"/>
    <w:uiPriority w:val="99"/>
    <w:semiHidden/>
    <w:unhideWhenUsed/>
    <w:rsid w:val="00647361"/>
    <w:rPr>
      <w:sz w:val="20"/>
      <w:szCs w:val="20"/>
    </w:rPr>
  </w:style>
  <w:style w:type="character" w:customStyle="1" w:styleId="TextocomentarioCar">
    <w:name w:val="Texto comentario Car"/>
    <w:basedOn w:val="Fuentedeprrafopredeter"/>
    <w:link w:val="Textocomentario"/>
    <w:uiPriority w:val="99"/>
    <w:semiHidden/>
    <w:rsid w:val="00647361"/>
    <w:rPr>
      <w:rFonts w:ascii="Times New Roman" w:eastAsia="Times New Roman" w:hAnsi="Times New Roman" w:cs="Times New Roman"/>
      <w:kern w:val="0"/>
      <w:sz w:val="20"/>
      <w:szCs w:val="20"/>
      <w:lang w:eastAsia="es-ES_tradnl"/>
      <w14:ligatures w14:val="none"/>
    </w:rPr>
  </w:style>
  <w:style w:type="paragraph" w:styleId="Asuntodelcomentario">
    <w:name w:val="annotation subject"/>
    <w:basedOn w:val="Textocomentario"/>
    <w:next w:val="Textocomentario"/>
    <w:link w:val="AsuntodelcomentarioCar"/>
    <w:uiPriority w:val="99"/>
    <w:semiHidden/>
    <w:unhideWhenUsed/>
    <w:rsid w:val="00647361"/>
    <w:rPr>
      <w:b/>
      <w:bCs/>
    </w:rPr>
  </w:style>
  <w:style w:type="character" w:customStyle="1" w:styleId="AsuntodelcomentarioCar">
    <w:name w:val="Asunto del comentario Car"/>
    <w:basedOn w:val="TextocomentarioCar"/>
    <w:link w:val="Asuntodelcomentario"/>
    <w:uiPriority w:val="99"/>
    <w:semiHidden/>
    <w:rsid w:val="00647361"/>
    <w:rPr>
      <w:rFonts w:ascii="Times New Roman" w:eastAsia="Times New Roman" w:hAnsi="Times New Roman" w:cs="Times New Roman"/>
      <w:b/>
      <w:bCs/>
      <w:kern w:val="0"/>
      <w:sz w:val="20"/>
      <w:szCs w:val="20"/>
      <w:lang w:eastAsia="es-ES_tradnl"/>
      <w14:ligatures w14:val="none"/>
    </w:rPr>
  </w:style>
  <w:style w:type="paragraph" w:styleId="Textodeglobo">
    <w:name w:val="Balloon Text"/>
    <w:basedOn w:val="Normal"/>
    <w:link w:val="TextodegloboCar"/>
    <w:uiPriority w:val="99"/>
    <w:semiHidden/>
    <w:unhideWhenUsed/>
    <w:rsid w:val="0064736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7361"/>
    <w:rPr>
      <w:rFonts w:ascii="Segoe UI" w:eastAsia="Times New Roman" w:hAnsi="Segoe UI" w:cs="Segoe UI"/>
      <w:kern w:val="0"/>
      <w:sz w:val="18"/>
      <w:szCs w:val="18"/>
      <w:lang w:eastAsia="es-ES_tradnl"/>
      <w14:ligatures w14:val="none"/>
    </w:rPr>
  </w:style>
  <w:style w:type="paragraph" w:customStyle="1" w:styleId="font-claude-response-body">
    <w:name w:val="font-claude-response-body"/>
    <w:basedOn w:val="Normal"/>
    <w:rsid w:val="00BE09AB"/>
    <w:pPr>
      <w:spacing w:before="100" w:beforeAutospacing="1" w:after="100" w:afterAutospacing="1"/>
    </w:pPr>
    <w:rPr>
      <w:lang w:eastAsia="es-MX"/>
    </w:rPr>
  </w:style>
  <w:style w:type="character" w:customStyle="1" w:styleId="animatingyu34g10">
    <w:name w:val="_animating_yu34g_10"/>
    <w:basedOn w:val="Fuentedeprrafopredeter"/>
    <w:rsid w:val="00BE09AB"/>
  </w:style>
  <w:style w:type="character" w:styleId="Textoennegrita">
    <w:name w:val="Strong"/>
    <w:basedOn w:val="Fuentedeprrafopredeter"/>
    <w:uiPriority w:val="22"/>
    <w:qFormat/>
    <w:rsid w:val="00BE09AB"/>
    <w:rPr>
      <w:b/>
      <w:bCs/>
    </w:rPr>
  </w:style>
  <w:style w:type="character" w:styleId="nfasis">
    <w:name w:val="Emphasis"/>
    <w:basedOn w:val="Fuentedeprrafopredeter"/>
    <w:uiPriority w:val="20"/>
    <w:qFormat/>
    <w:rsid w:val="00BE09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6859">
      <w:bodyDiv w:val="1"/>
      <w:marLeft w:val="0"/>
      <w:marRight w:val="0"/>
      <w:marTop w:val="0"/>
      <w:marBottom w:val="0"/>
      <w:divBdr>
        <w:top w:val="none" w:sz="0" w:space="0" w:color="auto"/>
        <w:left w:val="none" w:sz="0" w:space="0" w:color="auto"/>
        <w:bottom w:val="none" w:sz="0" w:space="0" w:color="auto"/>
        <w:right w:val="none" w:sz="0" w:space="0" w:color="auto"/>
      </w:divBdr>
    </w:div>
    <w:div w:id="581645533">
      <w:bodyDiv w:val="1"/>
      <w:marLeft w:val="0"/>
      <w:marRight w:val="0"/>
      <w:marTop w:val="0"/>
      <w:marBottom w:val="0"/>
      <w:divBdr>
        <w:top w:val="none" w:sz="0" w:space="0" w:color="auto"/>
        <w:left w:val="none" w:sz="0" w:space="0" w:color="auto"/>
        <w:bottom w:val="none" w:sz="0" w:space="0" w:color="auto"/>
        <w:right w:val="none" w:sz="0" w:space="0" w:color="auto"/>
      </w:divBdr>
    </w:div>
    <w:div w:id="952249420">
      <w:bodyDiv w:val="1"/>
      <w:marLeft w:val="0"/>
      <w:marRight w:val="0"/>
      <w:marTop w:val="0"/>
      <w:marBottom w:val="0"/>
      <w:divBdr>
        <w:top w:val="none" w:sz="0" w:space="0" w:color="auto"/>
        <w:left w:val="none" w:sz="0" w:space="0" w:color="auto"/>
        <w:bottom w:val="none" w:sz="0" w:space="0" w:color="auto"/>
        <w:right w:val="none" w:sz="0" w:space="0" w:color="auto"/>
      </w:divBdr>
    </w:div>
    <w:div w:id="1454057980">
      <w:bodyDiv w:val="1"/>
      <w:marLeft w:val="0"/>
      <w:marRight w:val="0"/>
      <w:marTop w:val="0"/>
      <w:marBottom w:val="0"/>
      <w:divBdr>
        <w:top w:val="none" w:sz="0" w:space="0" w:color="auto"/>
        <w:left w:val="none" w:sz="0" w:space="0" w:color="auto"/>
        <w:bottom w:val="none" w:sz="0" w:space="0" w:color="auto"/>
        <w:right w:val="none" w:sz="0" w:space="0" w:color="auto"/>
      </w:divBdr>
      <w:divsChild>
        <w:div w:id="539782409">
          <w:marLeft w:val="0"/>
          <w:marRight w:val="0"/>
          <w:marTop w:val="0"/>
          <w:marBottom w:val="0"/>
          <w:divBdr>
            <w:top w:val="none" w:sz="0" w:space="0" w:color="auto"/>
            <w:left w:val="none" w:sz="0" w:space="0" w:color="auto"/>
            <w:bottom w:val="none" w:sz="0" w:space="0" w:color="auto"/>
            <w:right w:val="none" w:sz="0" w:space="0" w:color="auto"/>
          </w:divBdr>
        </w:div>
        <w:div w:id="382407096">
          <w:marLeft w:val="0"/>
          <w:marRight w:val="0"/>
          <w:marTop w:val="0"/>
          <w:marBottom w:val="0"/>
          <w:divBdr>
            <w:top w:val="none" w:sz="0" w:space="0" w:color="auto"/>
            <w:left w:val="none" w:sz="0" w:space="0" w:color="auto"/>
            <w:bottom w:val="none" w:sz="0" w:space="0" w:color="auto"/>
            <w:right w:val="none" w:sz="0" w:space="0" w:color="auto"/>
          </w:divBdr>
        </w:div>
        <w:div w:id="1520506147">
          <w:marLeft w:val="0"/>
          <w:marRight w:val="0"/>
          <w:marTop w:val="0"/>
          <w:marBottom w:val="0"/>
          <w:divBdr>
            <w:top w:val="none" w:sz="0" w:space="0" w:color="auto"/>
            <w:left w:val="none" w:sz="0" w:space="0" w:color="auto"/>
            <w:bottom w:val="none" w:sz="0" w:space="0" w:color="auto"/>
            <w:right w:val="none" w:sz="0" w:space="0" w:color="auto"/>
          </w:divBdr>
        </w:div>
        <w:div w:id="1946378796">
          <w:marLeft w:val="0"/>
          <w:marRight w:val="0"/>
          <w:marTop w:val="0"/>
          <w:marBottom w:val="0"/>
          <w:divBdr>
            <w:top w:val="none" w:sz="0" w:space="0" w:color="auto"/>
            <w:left w:val="none" w:sz="0" w:space="0" w:color="auto"/>
            <w:bottom w:val="none" w:sz="0" w:space="0" w:color="auto"/>
            <w:right w:val="none" w:sz="0" w:space="0" w:color="auto"/>
          </w:divBdr>
        </w:div>
        <w:div w:id="1339234506">
          <w:marLeft w:val="0"/>
          <w:marRight w:val="0"/>
          <w:marTop w:val="0"/>
          <w:marBottom w:val="0"/>
          <w:divBdr>
            <w:top w:val="none" w:sz="0" w:space="0" w:color="auto"/>
            <w:left w:val="none" w:sz="0" w:space="0" w:color="auto"/>
            <w:bottom w:val="none" w:sz="0" w:space="0" w:color="auto"/>
            <w:right w:val="none" w:sz="0" w:space="0" w:color="auto"/>
          </w:divBdr>
        </w:div>
        <w:div w:id="2086762961">
          <w:marLeft w:val="0"/>
          <w:marRight w:val="0"/>
          <w:marTop w:val="0"/>
          <w:marBottom w:val="0"/>
          <w:divBdr>
            <w:top w:val="none" w:sz="0" w:space="0" w:color="auto"/>
            <w:left w:val="none" w:sz="0" w:space="0" w:color="auto"/>
            <w:bottom w:val="none" w:sz="0" w:space="0" w:color="auto"/>
            <w:right w:val="none" w:sz="0" w:space="0" w:color="auto"/>
          </w:divBdr>
        </w:div>
        <w:div w:id="1742290248">
          <w:marLeft w:val="0"/>
          <w:marRight w:val="0"/>
          <w:marTop w:val="0"/>
          <w:marBottom w:val="0"/>
          <w:divBdr>
            <w:top w:val="none" w:sz="0" w:space="0" w:color="auto"/>
            <w:left w:val="none" w:sz="0" w:space="0" w:color="auto"/>
            <w:bottom w:val="none" w:sz="0" w:space="0" w:color="auto"/>
            <w:right w:val="none" w:sz="0" w:space="0" w:color="auto"/>
          </w:divBdr>
        </w:div>
        <w:div w:id="29035690">
          <w:marLeft w:val="0"/>
          <w:marRight w:val="0"/>
          <w:marTop w:val="0"/>
          <w:marBottom w:val="0"/>
          <w:divBdr>
            <w:top w:val="none" w:sz="0" w:space="0" w:color="auto"/>
            <w:left w:val="none" w:sz="0" w:space="0" w:color="auto"/>
            <w:bottom w:val="none" w:sz="0" w:space="0" w:color="auto"/>
            <w:right w:val="none" w:sz="0" w:space="0" w:color="auto"/>
          </w:divBdr>
        </w:div>
        <w:div w:id="1510635202">
          <w:marLeft w:val="0"/>
          <w:marRight w:val="0"/>
          <w:marTop w:val="0"/>
          <w:marBottom w:val="0"/>
          <w:divBdr>
            <w:top w:val="none" w:sz="0" w:space="0" w:color="auto"/>
            <w:left w:val="none" w:sz="0" w:space="0" w:color="auto"/>
            <w:bottom w:val="none" w:sz="0" w:space="0" w:color="auto"/>
            <w:right w:val="none" w:sz="0" w:space="0" w:color="auto"/>
          </w:divBdr>
        </w:div>
        <w:div w:id="200750904">
          <w:marLeft w:val="0"/>
          <w:marRight w:val="0"/>
          <w:marTop w:val="0"/>
          <w:marBottom w:val="0"/>
          <w:divBdr>
            <w:top w:val="none" w:sz="0" w:space="0" w:color="auto"/>
            <w:left w:val="none" w:sz="0" w:space="0" w:color="auto"/>
            <w:bottom w:val="none" w:sz="0" w:space="0" w:color="auto"/>
            <w:right w:val="none" w:sz="0" w:space="0" w:color="auto"/>
          </w:divBdr>
        </w:div>
        <w:div w:id="1993676773">
          <w:marLeft w:val="0"/>
          <w:marRight w:val="0"/>
          <w:marTop w:val="0"/>
          <w:marBottom w:val="0"/>
          <w:divBdr>
            <w:top w:val="none" w:sz="0" w:space="0" w:color="auto"/>
            <w:left w:val="none" w:sz="0" w:space="0" w:color="auto"/>
            <w:bottom w:val="none" w:sz="0" w:space="0" w:color="auto"/>
            <w:right w:val="none" w:sz="0" w:space="0" w:color="auto"/>
          </w:divBdr>
        </w:div>
        <w:div w:id="732003277">
          <w:marLeft w:val="0"/>
          <w:marRight w:val="0"/>
          <w:marTop w:val="0"/>
          <w:marBottom w:val="0"/>
          <w:divBdr>
            <w:top w:val="none" w:sz="0" w:space="0" w:color="auto"/>
            <w:left w:val="none" w:sz="0" w:space="0" w:color="auto"/>
            <w:bottom w:val="none" w:sz="0" w:space="0" w:color="auto"/>
            <w:right w:val="none" w:sz="0" w:space="0" w:color="auto"/>
          </w:divBdr>
        </w:div>
        <w:div w:id="478155042">
          <w:marLeft w:val="0"/>
          <w:marRight w:val="0"/>
          <w:marTop w:val="0"/>
          <w:marBottom w:val="0"/>
          <w:divBdr>
            <w:top w:val="none" w:sz="0" w:space="0" w:color="auto"/>
            <w:left w:val="none" w:sz="0" w:space="0" w:color="auto"/>
            <w:bottom w:val="none" w:sz="0" w:space="0" w:color="auto"/>
            <w:right w:val="none" w:sz="0" w:space="0" w:color="auto"/>
          </w:divBdr>
        </w:div>
        <w:div w:id="1458572070">
          <w:marLeft w:val="0"/>
          <w:marRight w:val="0"/>
          <w:marTop w:val="0"/>
          <w:marBottom w:val="0"/>
          <w:divBdr>
            <w:top w:val="none" w:sz="0" w:space="0" w:color="auto"/>
            <w:left w:val="none" w:sz="0" w:space="0" w:color="auto"/>
            <w:bottom w:val="none" w:sz="0" w:space="0" w:color="auto"/>
            <w:right w:val="none" w:sz="0" w:space="0" w:color="auto"/>
          </w:divBdr>
        </w:div>
        <w:div w:id="901990784">
          <w:marLeft w:val="0"/>
          <w:marRight w:val="0"/>
          <w:marTop w:val="0"/>
          <w:marBottom w:val="0"/>
          <w:divBdr>
            <w:top w:val="none" w:sz="0" w:space="0" w:color="auto"/>
            <w:left w:val="none" w:sz="0" w:space="0" w:color="auto"/>
            <w:bottom w:val="none" w:sz="0" w:space="0" w:color="auto"/>
            <w:right w:val="none" w:sz="0" w:space="0" w:color="auto"/>
          </w:divBdr>
        </w:div>
        <w:div w:id="1060710725">
          <w:marLeft w:val="0"/>
          <w:marRight w:val="0"/>
          <w:marTop w:val="0"/>
          <w:marBottom w:val="0"/>
          <w:divBdr>
            <w:top w:val="none" w:sz="0" w:space="0" w:color="auto"/>
            <w:left w:val="none" w:sz="0" w:space="0" w:color="auto"/>
            <w:bottom w:val="none" w:sz="0" w:space="0" w:color="auto"/>
            <w:right w:val="none" w:sz="0" w:space="0" w:color="auto"/>
          </w:divBdr>
        </w:div>
        <w:div w:id="1352611400">
          <w:marLeft w:val="0"/>
          <w:marRight w:val="0"/>
          <w:marTop w:val="0"/>
          <w:marBottom w:val="0"/>
          <w:divBdr>
            <w:top w:val="none" w:sz="0" w:space="0" w:color="auto"/>
            <w:left w:val="none" w:sz="0" w:space="0" w:color="auto"/>
            <w:bottom w:val="none" w:sz="0" w:space="0" w:color="auto"/>
            <w:right w:val="none" w:sz="0" w:space="0" w:color="auto"/>
          </w:divBdr>
        </w:div>
        <w:div w:id="100489718">
          <w:marLeft w:val="0"/>
          <w:marRight w:val="0"/>
          <w:marTop w:val="0"/>
          <w:marBottom w:val="0"/>
          <w:divBdr>
            <w:top w:val="none" w:sz="0" w:space="0" w:color="auto"/>
            <w:left w:val="none" w:sz="0" w:space="0" w:color="auto"/>
            <w:bottom w:val="none" w:sz="0" w:space="0" w:color="auto"/>
            <w:right w:val="none" w:sz="0" w:space="0" w:color="auto"/>
          </w:divBdr>
        </w:div>
        <w:div w:id="1234002574">
          <w:marLeft w:val="0"/>
          <w:marRight w:val="0"/>
          <w:marTop w:val="0"/>
          <w:marBottom w:val="0"/>
          <w:divBdr>
            <w:top w:val="none" w:sz="0" w:space="0" w:color="auto"/>
            <w:left w:val="none" w:sz="0" w:space="0" w:color="auto"/>
            <w:bottom w:val="none" w:sz="0" w:space="0" w:color="auto"/>
            <w:right w:val="none" w:sz="0" w:space="0" w:color="auto"/>
          </w:divBdr>
        </w:div>
        <w:div w:id="2075467891">
          <w:marLeft w:val="0"/>
          <w:marRight w:val="0"/>
          <w:marTop w:val="0"/>
          <w:marBottom w:val="0"/>
          <w:divBdr>
            <w:top w:val="none" w:sz="0" w:space="0" w:color="auto"/>
            <w:left w:val="none" w:sz="0" w:space="0" w:color="auto"/>
            <w:bottom w:val="none" w:sz="0" w:space="0" w:color="auto"/>
            <w:right w:val="none" w:sz="0" w:space="0" w:color="auto"/>
          </w:divBdr>
        </w:div>
        <w:div w:id="1875338754">
          <w:marLeft w:val="0"/>
          <w:marRight w:val="0"/>
          <w:marTop w:val="0"/>
          <w:marBottom w:val="0"/>
          <w:divBdr>
            <w:top w:val="none" w:sz="0" w:space="0" w:color="auto"/>
            <w:left w:val="none" w:sz="0" w:space="0" w:color="auto"/>
            <w:bottom w:val="none" w:sz="0" w:space="0" w:color="auto"/>
            <w:right w:val="none" w:sz="0" w:space="0" w:color="auto"/>
          </w:divBdr>
        </w:div>
        <w:div w:id="1872910857">
          <w:marLeft w:val="0"/>
          <w:marRight w:val="0"/>
          <w:marTop w:val="0"/>
          <w:marBottom w:val="0"/>
          <w:divBdr>
            <w:top w:val="none" w:sz="0" w:space="0" w:color="auto"/>
            <w:left w:val="none" w:sz="0" w:space="0" w:color="auto"/>
            <w:bottom w:val="none" w:sz="0" w:space="0" w:color="auto"/>
            <w:right w:val="none" w:sz="0" w:space="0" w:color="auto"/>
          </w:divBdr>
        </w:div>
        <w:div w:id="599683860">
          <w:marLeft w:val="0"/>
          <w:marRight w:val="0"/>
          <w:marTop w:val="0"/>
          <w:marBottom w:val="0"/>
          <w:divBdr>
            <w:top w:val="none" w:sz="0" w:space="0" w:color="auto"/>
            <w:left w:val="none" w:sz="0" w:space="0" w:color="auto"/>
            <w:bottom w:val="none" w:sz="0" w:space="0" w:color="auto"/>
            <w:right w:val="none" w:sz="0" w:space="0" w:color="auto"/>
          </w:divBdr>
        </w:div>
        <w:div w:id="1935086172">
          <w:marLeft w:val="0"/>
          <w:marRight w:val="0"/>
          <w:marTop w:val="0"/>
          <w:marBottom w:val="0"/>
          <w:divBdr>
            <w:top w:val="none" w:sz="0" w:space="0" w:color="auto"/>
            <w:left w:val="none" w:sz="0" w:space="0" w:color="auto"/>
            <w:bottom w:val="none" w:sz="0" w:space="0" w:color="auto"/>
            <w:right w:val="none" w:sz="0" w:space="0" w:color="auto"/>
          </w:divBdr>
        </w:div>
      </w:divsChild>
    </w:div>
    <w:div w:id="156120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diciales@mininterior.gov.c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pmcondoto@cendoj.ramajudicial.gov.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elaida.demoya@mininterior.gov.c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ejandro.franco@mininterior.gov.co" TargetMode="External"/><Relationship Id="rId4" Type="http://schemas.openxmlformats.org/officeDocument/2006/relationships/settings" Target="settings.xml"/><Relationship Id="rId9" Type="http://schemas.openxmlformats.org/officeDocument/2006/relationships/hyperlink" Target="mailto:Alejandrofranco999@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37F79-A6F0-4F96-94E4-042F70461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5531</Words>
  <Characters>30426</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Gomez Ortiz</dc:creator>
  <cp:keywords/>
  <dc:description/>
  <cp:lastModifiedBy>ANDRES CARDONA</cp:lastModifiedBy>
  <cp:revision>2</cp:revision>
  <dcterms:created xsi:type="dcterms:W3CDTF">2026-07-17T20:32:00Z</dcterms:created>
  <dcterms:modified xsi:type="dcterms:W3CDTF">2026-07-17T20:32:00Z</dcterms:modified>
</cp:coreProperties>
</file>